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D0833" w14:textId="77777777" w:rsidR="00FD2A44" w:rsidRPr="00D43AC1" w:rsidRDefault="00BC2000" w:rsidP="00D43AC1">
      <w:pPr>
        <w:pStyle w:val="Heading1"/>
      </w:pPr>
      <w:bookmarkStart w:id="0" w:name="_GoBack"/>
      <w:bookmarkEnd w:id="0"/>
      <w:r>
        <w:t>Personal Social Services Survey of Adult Carers in England</w:t>
      </w:r>
      <w:r w:rsidR="00FD2A44" w:rsidRPr="00D43AC1">
        <w:t xml:space="preserve"> – Briefing for Network Partners</w:t>
      </w:r>
    </w:p>
    <w:p w14:paraId="2E608A1C" w14:textId="77777777" w:rsidR="00FD2A44" w:rsidRPr="00D43AC1" w:rsidRDefault="00FD2A44" w:rsidP="00D43AC1">
      <w:pPr>
        <w:pStyle w:val="Heading2"/>
      </w:pPr>
      <w:r w:rsidRPr="00D43AC1">
        <w:t>Summary</w:t>
      </w:r>
    </w:p>
    <w:p w14:paraId="489F1822" w14:textId="0E6DD481" w:rsidR="00BC2000" w:rsidRDefault="00BC2000" w:rsidP="00BC2000">
      <w:pPr>
        <w:rPr>
          <w:rFonts w:cs="Arial"/>
          <w:color w:val="000000" w:themeColor="text1"/>
          <w:spacing w:val="6"/>
        </w:rPr>
      </w:pPr>
      <w:r w:rsidRPr="00BC2000">
        <w:rPr>
          <w:color w:val="000000" w:themeColor="text1"/>
        </w:rPr>
        <w:t xml:space="preserve">The </w:t>
      </w:r>
      <w:hyperlink r:id="rId9" w:history="1">
        <w:r w:rsidRPr="00BC2000">
          <w:rPr>
            <w:rStyle w:val="Hyperlink"/>
          </w:rPr>
          <w:t>Personal Social Services Survey of Adult Carers in England</w:t>
        </w:r>
      </w:hyperlink>
      <w:r>
        <w:rPr>
          <w:color w:val="000000" w:themeColor="text1"/>
        </w:rPr>
        <w:t xml:space="preserve"> (SACE)</w:t>
      </w:r>
      <w:r w:rsidRPr="00BC2000">
        <w:rPr>
          <w:color w:val="000000" w:themeColor="text1"/>
        </w:rPr>
        <w:t xml:space="preserve"> is a survey that take</w:t>
      </w:r>
      <w:r w:rsidR="004E1FEA">
        <w:rPr>
          <w:color w:val="000000" w:themeColor="text1"/>
        </w:rPr>
        <w:t>s</w:t>
      </w:r>
      <w:r w:rsidRPr="00BC2000">
        <w:rPr>
          <w:color w:val="000000" w:themeColor="text1"/>
        </w:rPr>
        <w:t xml:space="preserve"> place once every two years. The survey covers unpaid carers aged 18 or over, carin</w:t>
      </w:r>
      <w:r w:rsidR="004E1FEA">
        <w:rPr>
          <w:color w:val="000000" w:themeColor="text1"/>
        </w:rPr>
        <w:t xml:space="preserve">g for a person aged 18 or over </w:t>
      </w:r>
      <w:r w:rsidRPr="00BC2000">
        <w:rPr>
          <w:rFonts w:cs="Arial"/>
          <w:color w:val="000000" w:themeColor="text1"/>
          <w:spacing w:val="6"/>
        </w:rPr>
        <w:t xml:space="preserve">and is conducted by </w:t>
      </w:r>
      <w:r w:rsidR="00CB5ED8">
        <w:rPr>
          <w:rFonts w:cs="Arial"/>
          <w:color w:val="000000" w:themeColor="text1"/>
          <w:spacing w:val="6"/>
        </w:rPr>
        <w:t>c</w:t>
      </w:r>
      <w:r w:rsidRPr="00BC2000">
        <w:rPr>
          <w:rFonts w:cs="Arial"/>
          <w:color w:val="000000" w:themeColor="text1"/>
          <w:spacing w:val="6"/>
        </w:rPr>
        <w:t xml:space="preserve">ouncils. </w:t>
      </w:r>
      <w:r w:rsidR="00883A2C">
        <w:rPr>
          <w:rFonts w:cs="Arial"/>
          <w:color w:val="000000" w:themeColor="text1"/>
          <w:spacing w:val="6"/>
        </w:rPr>
        <w:t>Just over 55,000 carers took part in the survey.</w:t>
      </w:r>
    </w:p>
    <w:p w14:paraId="1A6DA087" w14:textId="77777777" w:rsidR="004E1FEA" w:rsidRDefault="004E1FEA" w:rsidP="00BC2000">
      <w:pPr>
        <w:rPr>
          <w:rFonts w:cs="Arial"/>
          <w:color w:val="000000" w:themeColor="text1"/>
          <w:spacing w:val="6"/>
        </w:rPr>
      </w:pPr>
    </w:p>
    <w:p w14:paraId="7AB41C27" w14:textId="6FF8D49D" w:rsidR="00FD2A44" w:rsidRPr="00F67100" w:rsidRDefault="00A76775" w:rsidP="00FD2A44">
      <w:pPr>
        <w:rPr>
          <w:rFonts w:eastAsia="Times New Roman" w:cs="Arial"/>
          <w:color w:val="000000" w:themeColor="text1"/>
          <w:spacing w:val="6"/>
        </w:rPr>
      </w:pPr>
      <w:r>
        <w:rPr>
          <w:rFonts w:cs="Arial"/>
          <w:color w:val="000000" w:themeColor="text1"/>
          <w:spacing w:val="6"/>
        </w:rPr>
        <w:t>This</w:t>
      </w:r>
      <w:r w:rsidR="00BC2000">
        <w:t xml:space="preserve"> is a summary of the key findings from the survey</w:t>
      </w:r>
      <w:r w:rsidR="003F08B3">
        <w:t>.</w:t>
      </w:r>
      <w:r w:rsidR="00BC2000">
        <w:rPr>
          <w:rStyle w:val="FootnoteReference"/>
        </w:rPr>
        <w:footnoteReference w:id="1"/>
      </w:r>
    </w:p>
    <w:p w14:paraId="6AA8FE73" w14:textId="77777777" w:rsidR="00FD2A44" w:rsidRDefault="00FD2A44" w:rsidP="00FD2A44"/>
    <w:p w14:paraId="70366C66" w14:textId="77777777" w:rsidR="00FD2A44" w:rsidRPr="00FD2A44" w:rsidRDefault="00BC2000" w:rsidP="00BC2000">
      <w:pPr>
        <w:pStyle w:val="Heading2"/>
      </w:pPr>
      <w:r>
        <w:t xml:space="preserve">Key findings </w:t>
      </w:r>
    </w:p>
    <w:p w14:paraId="72E97119" w14:textId="40B41855" w:rsidR="003F08B3" w:rsidRDefault="003F08B3" w:rsidP="003F08B3">
      <w:pPr>
        <w:pStyle w:val="ListParagraph"/>
        <w:numPr>
          <w:ilvl w:val="0"/>
          <w:numId w:val="2"/>
        </w:numPr>
      </w:pPr>
      <w:r>
        <w:t xml:space="preserve">58.5% of carers spend more than 35 hours per week </w:t>
      </w:r>
      <w:r w:rsidR="004E1FEA">
        <w:t>providing care and</w:t>
      </w:r>
      <w:r>
        <w:t xml:space="preserve"> 36% provide care for over 100 hours per week </w:t>
      </w:r>
    </w:p>
    <w:p w14:paraId="00A4C997" w14:textId="77777777" w:rsidR="00BC2000" w:rsidRDefault="00BC2000" w:rsidP="003F08B3">
      <w:pPr>
        <w:pStyle w:val="ListParagraph"/>
        <w:numPr>
          <w:ilvl w:val="0"/>
          <w:numId w:val="2"/>
        </w:numPr>
      </w:pPr>
      <w:r>
        <w:t xml:space="preserve">90% of carers aged 85 and over </w:t>
      </w:r>
      <w:r w:rsidR="00E8630E">
        <w:t>care</w:t>
      </w:r>
      <w:r>
        <w:t xml:space="preserve"> for someone aged 75 or over</w:t>
      </w:r>
    </w:p>
    <w:p w14:paraId="4CD662EC" w14:textId="77777777" w:rsidR="003F08B3" w:rsidRDefault="003F08B3" w:rsidP="003F08B3">
      <w:pPr>
        <w:pStyle w:val="ListParagraph"/>
        <w:numPr>
          <w:ilvl w:val="0"/>
          <w:numId w:val="2"/>
        </w:numPr>
      </w:pPr>
      <w:r>
        <w:t xml:space="preserve">42% of carers reported feeling </w:t>
      </w:r>
      <w:r w:rsidR="004E1FEA">
        <w:t>depressed</w:t>
      </w:r>
      <w:r>
        <w:t xml:space="preserve"> as a result of their caring role</w:t>
      </w:r>
    </w:p>
    <w:p w14:paraId="579DD2FF" w14:textId="77777777" w:rsidR="003F08B3" w:rsidRDefault="003F08B3" w:rsidP="003F08B3">
      <w:pPr>
        <w:pStyle w:val="ListParagraph"/>
        <w:numPr>
          <w:ilvl w:val="0"/>
          <w:numId w:val="2"/>
        </w:numPr>
      </w:pPr>
      <w:r>
        <w:t>23% said their caring role led to them developing their own health condition, with 20% saying caring made an existing condition worse</w:t>
      </w:r>
    </w:p>
    <w:p w14:paraId="5CB46F14" w14:textId="77777777" w:rsidR="003F08B3" w:rsidRDefault="003F08B3" w:rsidP="003F08B3">
      <w:pPr>
        <w:pStyle w:val="ListParagraph"/>
        <w:numPr>
          <w:ilvl w:val="0"/>
          <w:numId w:val="2"/>
        </w:numPr>
      </w:pPr>
      <w:r>
        <w:t>48.5% said they had some social contact but not enough and a further 16% reported having little social contact and feel socially isolated</w:t>
      </w:r>
    </w:p>
    <w:p w14:paraId="1116486E" w14:textId="77777777" w:rsidR="00BC2000" w:rsidRDefault="00BC2000" w:rsidP="00BC2000">
      <w:pPr>
        <w:pStyle w:val="ListParagraph"/>
        <w:ind w:left="170"/>
      </w:pPr>
    </w:p>
    <w:p w14:paraId="1EE56899" w14:textId="10CF4D89" w:rsidR="00FD2A44" w:rsidRDefault="00BC2000" w:rsidP="00D43AC1">
      <w:pPr>
        <w:pStyle w:val="Heading2"/>
      </w:pPr>
      <w:r>
        <w:t xml:space="preserve">Information about </w:t>
      </w:r>
      <w:r w:rsidR="00CB5ED8">
        <w:t>carers</w:t>
      </w:r>
      <w:r>
        <w:t xml:space="preserve"> and their role</w:t>
      </w:r>
    </w:p>
    <w:p w14:paraId="61EA77BE" w14:textId="77777777" w:rsidR="00BC2000" w:rsidRPr="004E1FEA" w:rsidRDefault="004E1FEA" w:rsidP="004E1FEA">
      <w:r>
        <w:t>The survey found that t</w:t>
      </w:r>
      <w:r w:rsidR="00BC2000">
        <w:t>he largest proportion of carers are aged 55 – 64 at 24</w:t>
      </w:r>
      <w:r w:rsidR="00BC2000" w:rsidRPr="004E1FEA">
        <w:t>%</w:t>
      </w:r>
      <w:r w:rsidRPr="004E1FEA">
        <w:t>, with c</w:t>
      </w:r>
      <w:r w:rsidR="00BC2000" w:rsidRPr="004E1FEA">
        <w:t>arers aged 18 – 24 represent the smallest group at 1.5%</w:t>
      </w:r>
      <w:r>
        <w:t>.</w:t>
      </w:r>
    </w:p>
    <w:p w14:paraId="7B009CC5" w14:textId="77777777" w:rsidR="000479EC" w:rsidRDefault="000479EC" w:rsidP="00FD2A44">
      <w:pPr>
        <w:rPr>
          <w:b/>
        </w:rPr>
      </w:pPr>
    </w:p>
    <w:tbl>
      <w:tblPr>
        <w:tblStyle w:val="TableGrid"/>
        <w:tblW w:w="0" w:type="auto"/>
        <w:tblLook w:val="04A0" w:firstRow="1" w:lastRow="0" w:firstColumn="1" w:lastColumn="0" w:noHBand="0" w:noVBand="1"/>
      </w:tblPr>
      <w:tblGrid>
        <w:gridCol w:w="5949"/>
        <w:gridCol w:w="3061"/>
      </w:tblGrid>
      <w:tr w:rsidR="00BC2000" w14:paraId="0580E124" w14:textId="77777777" w:rsidTr="00E8630E">
        <w:tc>
          <w:tcPr>
            <w:tcW w:w="5949" w:type="dxa"/>
          </w:tcPr>
          <w:p w14:paraId="618B2F38" w14:textId="77777777" w:rsidR="00BC2000" w:rsidRDefault="00BC2000" w:rsidP="00FD2A44">
            <w:pPr>
              <w:rPr>
                <w:b/>
              </w:rPr>
            </w:pPr>
            <w:r>
              <w:rPr>
                <w:b/>
              </w:rPr>
              <w:t>Age range</w:t>
            </w:r>
          </w:p>
        </w:tc>
        <w:tc>
          <w:tcPr>
            <w:tcW w:w="3061" w:type="dxa"/>
          </w:tcPr>
          <w:p w14:paraId="339F68B6" w14:textId="77777777" w:rsidR="00BC2000" w:rsidRDefault="00BC2000" w:rsidP="00FD2A44">
            <w:pPr>
              <w:rPr>
                <w:b/>
              </w:rPr>
            </w:pPr>
            <w:r>
              <w:rPr>
                <w:b/>
              </w:rPr>
              <w:t>Percentage of sample</w:t>
            </w:r>
          </w:p>
        </w:tc>
      </w:tr>
      <w:tr w:rsidR="00BC2000" w14:paraId="25B7A8EF" w14:textId="77777777" w:rsidTr="00E8630E">
        <w:tc>
          <w:tcPr>
            <w:tcW w:w="5949" w:type="dxa"/>
          </w:tcPr>
          <w:p w14:paraId="3C49DF72" w14:textId="77777777" w:rsidR="00BC2000" w:rsidRPr="00BC2000" w:rsidRDefault="00BC2000" w:rsidP="00FD2A44">
            <w:r w:rsidRPr="00BC2000">
              <w:t>85+</w:t>
            </w:r>
          </w:p>
        </w:tc>
        <w:tc>
          <w:tcPr>
            <w:tcW w:w="3061" w:type="dxa"/>
          </w:tcPr>
          <w:p w14:paraId="790DE92F" w14:textId="77777777" w:rsidR="00BC2000" w:rsidRPr="00BC2000" w:rsidRDefault="00BC2000" w:rsidP="00FD2A44">
            <w:r w:rsidRPr="00BC2000">
              <w:t>7%</w:t>
            </w:r>
          </w:p>
        </w:tc>
      </w:tr>
      <w:tr w:rsidR="00BC2000" w14:paraId="5E0FDB01" w14:textId="77777777" w:rsidTr="00E8630E">
        <w:tc>
          <w:tcPr>
            <w:tcW w:w="5949" w:type="dxa"/>
          </w:tcPr>
          <w:p w14:paraId="11D8B238" w14:textId="77777777" w:rsidR="00BC2000" w:rsidRPr="00BC2000" w:rsidRDefault="00BC2000" w:rsidP="00FD2A44">
            <w:r w:rsidRPr="00BC2000">
              <w:t>75 – 84</w:t>
            </w:r>
          </w:p>
        </w:tc>
        <w:tc>
          <w:tcPr>
            <w:tcW w:w="3061" w:type="dxa"/>
          </w:tcPr>
          <w:p w14:paraId="4139B635" w14:textId="77777777" w:rsidR="00BC2000" w:rsidRPr="00BC2000" w:rsidRDefault="00BC2000" w:rsidP="00FD2A44">
            <w:r w:rsidRPr="00BC2000">
              <w:t>17%</w:t>
            </w:r>
          </w:p>
        </w:tc>
      </w:tr>
      <w:tr w:rsidR="00BC2000" w14:paraId="6D54A2F2" w14:textId="77777777" w:rsidTr="00E8630E">
        <w:tc>
          <w:tcPr>
            <w:tcW w:w="5949" w:type="dxa"/>
          </w:tcPr>
          <w:p w14:paraId="2151A7B5" w14:textId="77777777" w:rsidR="00BC2000" w:rsidRPr="00BC2000" w:rsidRDefault="00BC2000" w:rsidP="00FD2A44">
            <w:r w:rsidRPr="00BC2000">
              <w:t>65 – 74</w:t>
            </w:r>
          </w:p>
        </w:tc>
        <w:tc>
          <w:tcPr>
            <w:tcW w:w="3061" w:type="dxa"/>
          </w:tcPr>
          <w:p w14:paraId="549B8546" w14:textId="77777777" w:rsidR="00BC2000" w:rsidRPr="00BC2000" w:rsidRDefault="00BC2000" w:rsidP="00FD2A44">
            <w:r w:rsidRPr="00BC2000">
              <w:t>21.5%</w:t>
            </w:r>
          </w:p>
        </w:tc>
      </w:tr>
      <w:tr w:rsidR="00BC2000" w14:paraId="1F020E6D" w14:textId="77777777" w:rsidTr="00E8630E">
        <w:tc>
          <w:tcPr>
            <w:tcW w:w="5949" w:type="dxa"/>
          </w:tcPr>
          <w:p w14:paraId="62FC19EB" w14:textId="77777777" w:rsidR="00BC2000" w:rsidRPr="00BC2000" w:rsidRDefault="00BC2000" w:rsidP="00FD2A44">
            <w:r w:rsidRPr="00BC2000">
              <w:t>55-64</w:t>
            </w:r>
          </w:p>
        </w:tc>
        <w:tc>
          <w:tcPr>
            <w:tcW w:w="3061" w:type="dxa"/>
          </w:tcPr>
          <w:p w14:paraId="7C7B3DE2" w14:textId="77777777" w:rsidR="00BC2000" w:rsidRPr="00BC2000" w:rsidRDefault="00BC2000" w:rsidP="00FD2A44">
            <w:r w:rsidRPr="00BC2000">
              <w:t>24%</w:t>
            </w:r>
          </w:p>
        </w:tc>
      </w:tr>
      <w:tr w:rsidR="00BC2000" w14:paraId="4A14E72B" w14:textId="77777777" w:rsidTr="00E8630E">
        <w:tc>
          <w:tcPr>
            <w:tcW w:w="5949" w:type="dxa"/>
          </w:tcPr>
          <w:p w14:paraId="2CF020E0" w14:textId="77777777" w:rsidR="00BC2000" w:rsidRPr="00BC2000" w:rsidRDefault="00BC2000" w:rsidP="00FD2A44">
            <w:r w:rsidRPr="00BC2000">
              <w:t>45 – 54</w:t>
            </w:r>
          </w:p>
        </w:tc>
        <w:tc>
          <w:tcPr>
            <w:tcW w:w="3061" w:type="dxa"/>
          </w:tcPr>
          <w:p w14:paraId="1329EA79" w14:textId="77777777" w:rsidR="00BC2000" w:rsidRPr="00BC2000" w:rsidRDefault="00BC2000" w:rsidP="00FD2A44">
            <w:r w:rsidRPr="00BC2000">
              <w:t>19%</w:t>
            </w:r>
          </w:p>
        </w:tc>
      </w:tr>
      <w:tr w:rsidR="00BC2000" w14:paraId="09FAF35A" w14:textId="77777777" w:rsidTr="00E8630E">
        <w:tc>
          <w:tcPr>
            <w:tcW w:w="5949" w:type="dxa"/>
          </w:tcPr>
          <w:p w14:paraId="1EF533D7" w14:textId="77777777" w:rsidR="00BC2000" w:rsidRPr="00BC2000" w:rsidRDefault="00BC2000" w:rsidP="00FD2A44">
            <w:r w:rsidRPr="00BC2000">
              <w:t>35 – 44</w:t>
            </w:r>
          </w:p>
        </w:tc>
        <w:tc>
          <w:tcPr>
            <w:tcW w:w="3061" w:type="dxa"/>
          </w:tcPr>
          <w:p w14:paraId="3FD28311" w14:textId="77777777" w:rsidR="00BC2000" w:rsidRPr="00BC2000" w:rsidRDefault="00BC2000" w:rsidP="00FD2A44">
            <w:r w:rsidRPr="00BC2000">
              <w:t>7%</w:t>
            </w:r>
          </w:p>
        </w:tc>
      </w:tr>
      <w:tr w:rsidR="00BC2000" w14:paraId="2E96E286" w14:textId="77777777" w:rsidTr="00E8630E">
        <w:tc>
          <w:tcPr>
            <w:tcW w:w="5949" w:type="dxa"/>
          </w:tcPr>
          <w:p w14:paraId="7B5684CE" w14:textId="77777777" w:rsidR="00BC2000" w:rsidRPr="00BC2000" w:rsidRDefault="00BC2000" w:rsidP="00FD2A44">
            <w:r w:rsidRPr="00BC2000">
              <w:t>25 – 34</w:t>
            </w:r>
          </w:p>
        </w:tc>
        <w:tc>
          <w:tcPr>
            <w:tcW w:w="3061" w:type="dxa"/>
          </w:tcPr>
          <w:p w14:paraId="4131CD1F" w14:textId="77777777" w:rsidR="00BC2000" w:rsidRPr="00BC2000" w:rsidRDefault="00BC2000" w:rsidP="00FD2A44">
            <w:r w:rsidRPr="00BC2000">
              <w:t>3%</w:t>
            </w:r>
          </w:p>
        </w:tc>
      </w:tr>
      <w:tr w:rsidR="00BC2000" w14:paraId="308829CA" w14:textId="77777777" w:rsidTr="00E8630E">
        <w:tc>
          <w:tcPr>
            <w:tcW w:w="5949" w:type="dxa"/>
          </w:tcPr>
          <w:p w14:paraId="6D7CF45C" w14:textId="77777777" w:rsidR="00BC2000" w:rsidRPr="00BC2000" w:rsidRDefault="00BC2000" w:rsidP="00FD2A44">
            <w:r w:rsidRPr="00BC2000">
              <w:t>18 – 24</w:t>
            </w:r>
          </w:p>
        </w:tc>
        <w:tc>
          <w:tcPr>
            <w:tcW w:w="3061" w:type="dxa"/>
          </w:tcPr>
          <w:p w14:paraId="6DB76AC6" w14:textId="77777777" w:rsidR="00BC2000" w:rsidRPr="00BC2000" w:rsidRDefault="00BC2000" w:rsidP="00FD2A44">
            <w:r w:rsidRPr="00BC2000">
              <w:t>1.5%</w:t>
            </w:r>
          </w:p>
        </w:tc>
      </w:tr>
    </w:tbl>
    <w:p w14:paraId="72B7E799" w14:textId="77777777" w:rsidR="00BC2000" w:rsidRDefault="00BC2000" w:rsidP="00FD2A44">
      <w:pPr>
        <w:rPr>
          <w:b/>
        </w:rPr>
      </w:pPr>
    </w:p>
    <w:p w14:paraId="143CC1C9" w14:textId="6155CBF2" w:rsidR="00BC2000" w:rsidRDefault="00BC2000" w:rsidP="00BC2000">
      <w:pPr>
        <w:pStyle w:val="Heading2"/>
      </w:pPr>
      <w:r>
        <w:lastRenderedPageBreak/>
        <w:t xml:space="preserve">Support needs of the </w:t>
      </w:r>
      <w:r w:rsidR="00CB5ED8">
        <w:t>person receiving care</w:t>
      </w:r>
    </w:p>
    <w:p w14:paraId="79E2F064" w14:textId="77777777" w:rsidR="00BC2000" w:rsidRDefault="00BC2000" w:rsidP="00BC2000">
      <w:r>
        <w:t>It is important to note that the support needs required will be specific to each individual and care</w:t>
      </w:r>
      <w:r w:rsidR="004E1FEA">
        <w:t>r</w:t>
      </w:r>
      <w:r>
        <w:t xml:space="preserve">s will often have to manage multiple support needs for the person, or persons, they care for. </w:t>
      </w:r>
    </w:p>
    <w:p w14:paraId="122D2B43" w14:textId="77777777" w:rsidR="00BC2000" w:rsidRDefault="00BC2000" w:rsidP="00BC2000">
      <w:pPr>
        <w:pStyle w:val="ListParagraph"/>
        <w:numPr>
          <w:ilvl w:val="0"/>
          <w:numId w:val="5"/>
        </w:numPr>
      </w:pPr>
      <w:r>
        <w:t>Most carers (53%) reported that they were caring for someone with a physical disability</w:t>
      </w:r>
    </w:p>
    <w:p w14:paraId="69E1516D" w14:textId="77777777" w:rsidR="00BC2000" w:rsidRDefault="00BC2000" w:rsidP="00FD2A44">
      <w:pPr>
        <w:rPr>
          <w:b/>
        </w:rPr>
      </w:pPr>
    </w:p>
    <w:tbl>
      <w:tblPr>
        <w:tblStyle w:val="TableGrid"/>
        <w:tblW w:w="0" w:type="auto"/>
        <w:tblLook w:val="04A0" w:firstRow="1" w:lastRow="0" w:firstColumn="1" w:lastColumn="0" w:noHBand="0" w:noVBand="1"/>
      </w:tblPr>
      <w:tblGrid>
        <w:gridCol w:w="6374"/>
        <w:gridCol w:w="2636"/>
      </w:tblGrid>
      <w:tr w:rsidR="00BC2000" w14:paraId="4F0AB4DC" w14:textId="77777777" w:rsidTr="00E8630E">
        <w:tc>
          <w:tcPr>
            <w:tcW w:w="6374" w:type="dxa"/>
          </w:tcPr>
          <w:p w14:paraId="03FDA342" w14:textId="77777777" w:rsidR="00BC2000" w:rsidRDefault="00BC2000" w:rsidP="00FD2A44">
            <w:pPr>
              <w:rPr>
                <w:b/>
              </w:rPr>
            </w:pPr>
            <w:r>
              <w:rPr>
                <w:b/>
              </w:rPr>
              <w:t>Support needs of the care for person</w:t>
            </w:r>
          </w:p>
        </w:tc>
        <w:tc>
          <w:tcPr>
            <w:tcW w:w="2636" w:type="dxa"/>
          </w:tcPr>
          <w:p w14:paraId="346CDA97" w14:textId="77777777" w:rsidR="00BC2000" w:rsidRDefault="00BC2000" w:rsidP="00FD2A44">
            <w:pPr>
              <w:rPr>
                <w:b/>
              </w:rPr>
            </w:pPr>
            <w:r>
              <w:rPr>
                <w:b/>
              </w:rPr>
              <w:t>Percentage</w:t>
            </w:r>
          </w:p>
        </w:tc>
      </w:tr>
      <w:tr w:rsidR="00BC2000" w14:paraId="4E81D12D" w14:textId="77777777" w:rsidTr="00E8630E">
        <w:tc>
          <w:tcPr>
            <w:tcW w:w="6374" w:type="dxa"/>
          </w:tcPr>
          <w:p w14:paraId="68C94C3D" w14:textId="77777777" w:rsidR="00BC2000" w:rsidRPr="00BC2000" w:rsidRDefault="00BC2000" w:rsidP="00FD2A44">
            <w:r w:rsidRPr="00BC2000">
              <w:t>Alcohol or drug dependency</w:t>
            </w:r>
          </w:p>
        </w:tc>
        <w:tc>
          <w:tcPr>
            <w:tcW w:w="2636" w:type="dxa"/>
          </w:tcPr>
          <w:p w14:paraId="0D7EA4B8" w14:textId="77777777" w:rsidR="00BC2000" w:rsidRPr="00BC2000" w:rsidRDefault="00BC2000" w:rsidP="00FD2A44">
            <w:r w:rsidRPr="00BC2000">
              <w:t>2%</w:t>
            </w:r>
          </w:p>
        </w:tc>
      </w:tr>
      <w:tr w:rsidR="00BC2000" w14:paraId="087E5678" w14:textId="77777777" w:rsidTr="00E8630E">
        <w:tc>
          <w:tcPr>
            <w:tcW w:w="6374" w:type="dxa"/>
          </w:tcPr>
          <w:p w14:paraId="65429D3D" w14:textId="77777777" w:rsidR="00BC2000" w:rsidRPr="00BC2000" w:rsidRDefault="00BC2000" w:rsidP="00FD2A44">
            <w:r w:rsidRPr="00BC2000">
              <w:t>Terminal illness</w:t>
            </w:r>
          </w:p>
        </w:tc>
        <w:tc>
          <w:tcPr>
            <w:tcW w:w="2636" w:type="dxa"/>
          </w:tcPr>
          <w:p w14:paraId="47970A98" w14:textId="77777777" w:rsidR="00BC2000" w:rsidRPr="00BC2000" w:rsidRDefault="00BC2000" w:rsidP="00FD2A44">
            <w:r w:rsidRPr="00BC2000">
              <w:t>5%</w:t>
            </w:r>
          </w:p>
        </w:tc>
      </w:tr>
      <w:tr w:rsidR="00BC2000" w14:paraId="749A6768" w14:textId="77777777" w:rsidTr="00E8630E">
        <w:tc>
          <w:tcPr>
            <w:tcW w:w="6374" w:type="dxa"/>
          </w:tcPr>
          <w:p w14:paraId="71C7E69F" w14:textId="77777777" w:rsidR="00BC2000" w:rsidRPr="00BC2000" w:rsidRDefault="00BC2000" w:rsidP="00FD2A44">
            <w:r w:rsidRPr="00BC2000">
              <w:t>Long standing illness</w:t>
            </w:r>
          </w:p>
        </w:tc>
        <w:tc>
          <w:tcPr>
            <w:tcW w:w="2636" w:type="dxa"/>
          </w:tcPr>
          <w:p w14:paraId="1CE76856" w14:textId="77777777" w:rsidR="00BC2000" w:rsidRPr="00BC2000" w:rsidRDefault="00BC2000" w:rsidP="00FD2A44">
            <w:r w:rsidRPr="00BC2000">
              <w:t>40%</w:t>
            </w:r>
          </w:p>
        </w:tc>
      </w:tr>
      <w:tr w:rsidR="00BC2000" w14:paraId="6772EC74" w14:textId="77777777" w:rsidTr="00E8630E">
        <w:tc>
          <w:tcPr>
            <w:tcW w:w="6374" w:type="dxa"/>
          </w:tcPr>
          <w:p w14:paraId="627DFB83" w14:textId="77777777" w:rsidR="00BC2000" w:rsidRPr="00BC2000" w:rsidRDefault="00BC2000" w:rsidP="00FD2A44">
            <w:r w:rsidRPr="00BC2000">
              <w:t>Learning disability or difficulty</w:t>
            </w:r>
          </w:p>
        </w:tc>
        <w:tc>
          <w:tcPr>
            <w:tcW w:w="2636" w:type="dxa"/>
          </w:tcPr>
          <w:p w14:paraId="1626BED0" w14:textId="77777777" w:rsidR="00BC2000" w:rsidRPr="00BC2000" w:rsidRDefault="00BC2000" w:rsidP="00FD2A44">
            <w:r w:rsidRPr="00BC2000">
              <w:t>19%</w:t>
            </w:r>
          </w:p>
        </w:tc>
      </w:tr>
      <w:tr w:rsidR="00BC2000" w14:paraId="241C88DF" w14:textId="77777777" w:rsidTr="00E8630E">
        <w:tc>
          <w:tcPr>
            <w:tcW w:w="6374" w:type="dxa"/>
          </w:tcPr>
          <w:p w14:paraId="3EE61580" w14:textId="77777777" w:rsidR="00BC2000" w:rsidRPr="00BC2000" w:rsidRDefault="00BC2000" w:rsidP="00FD2A44">
            <w:r w:rsidRPr="00BC2000">
              <w:t>Problems connected with ageing</w:t>
            </w:r>
          </w:p>
        </w:tc>
        <w:tc>
          <w:tcPr>
            <w:tcW w:w="2636" w:type="dxa"/>
          </w:tcPr>
          <w:p w14:paraId="1BD3B6E7" w14:textId="77777777" w:rsidR="00BC2000" w:rsidRPr="00BC2000" w:rsidRDefault="00BC2000" w:rsidP="00FD2A44">
            <w:r w:rsidRPr="00BC2000">
              <w:t>35%</w:t>
            </w:r>
          </w:p>
        </w:tc>
      </w:tr>
      <w:tr w:rsidR="00BC2000" w14:paraId="2F5BD597" w14:textId="77777777" w:rsidTr="00E8630E">
        <w:tc>
          <w:tcPr>
            <w:tcW w:w="6374" w:type="dxa"/>
          </w:tcPr>
          <w:p w14:paraId="75BB9B64" w14:textId="77777777" w:rsidR="00BC2000" w:rsidRPr="00BC2000" w:rsidRDefault="00BC2000" w:rsidP="00FD2A44">
            <w:r w:rsidRPr="00BC2000">
              <w:t>Mental health problems</w:t>
            </w:r>
          </w:p>
        </w:tc>
        <w:tc>
          <w:tcPr>
            <w:tcW w:w="2636" w:type="dxa"/>
          </w:tcPr>
          <w:p w14:paraId="39453700" w14:textId="77777777" w:rsidR="00BC2000" w:rsidRPr="00BC2000" w:rsidRDefault="00BC2000" w:rsidP="00FD2A44">
            <w:r w:rsidRPr="00BC2000">
              <w:t>21%</w:t>
            </w:r>
          </w:p>
        </w:tc>
      </w:tr>
      <w:tr w:rsidR="00BC2000" w14:paraId="23707DE7" w14:textId="77777777" w:rsidTr="00E8630E">
        <w:tc>
          <w:tcPr>
            <w:tcW w:w="6374" w:type="dxa"/>
          </w:tcPr>
          <w:p w14:paraId="711DCC7B" w14:textId="77777777" w:rsidR="00BC2000" w:rsidRPr="00BC2000" w:rsidRDefault="00BC2000" w:rsidP="00FD2A44">
            <w:r w:rsidRPr="00BC2000">
              <w:t>Sight or hearing loss</w:t>
            </w:r>
          </w:p>
        </w:tc>
        <w:tc>
          <w:tcPr>
            <w:tcW w:w="2636" w:type="dxa"/>
          </w:tcPr>
          <w:p w14:paraId="1F3A8797" w14:textId="77777777" w:rsidR="00BC2000" w:rsidRPr="00BC2000" w:rsidRDefault="00BC2000" w:rsidP="00FD2A44">
            <w:r w:rsidRPr="00BC2000">
              <w:t>30%</w:t>
            </w:r>
          </w:p>
        </w:tc>
      </w:tr>
      <w:tr w:rsidR="00BC2000" w14:paraId="228852FE" w14:textId="77777777" w:rsidTr="00E8630E">
        <w:tc>
          <w:tcPr>
            <w:tcW w:w="6374" w:type="dxa"/>
          </w:tcPr>
          <w:p w14:paraId="2D9ADCCA" w14:textId="77777777" w:rsidR="00BC2000" w:rsidRPr="00BC2000" w:rsidRDefault="00BC2000" w:rsidP="00FD2A44">
            <w:r w:rsidRPr="00BC2000">
              <w:t>Physical disability</w:t>
            </w:r>
          </w:p>
        </w:tc>
        <w:tc>
          <w:tcPr>
            <w:tcW w:w="2636" w:type="dxa"/>
          </w:tcPr>
          <w:p w14:paraId="2914EB01" w14:textId="77777777" w:rsidR="00BC2000" w:rsidRPr="00BC2000" w:rsidRDefault="00BC2000" w:rsidP="00FD2A44">
            <w:r w:rsidRPr="00BC2000">
              <w:t>53%</w:t>
            </w:r>
          </w:p>
        </w:tc>
      </w:tr>
      <w:tr w:rsidR="00BC2000" w:rsidRPr="00BC2000" w14:paraId="5B7CA690" w14:textId="77777777" w:rsidTr="00E8630E">
        <w:tc>
          <w:tcPr>
            <w:tcW w:w="6374" w:type="dxa"/>
          </w:tcPr>
          <w:p w14:paraId="62E494A4" w14:textId="77777777" w:rsidR="00BC2000" w:rsidRPr="00BC2000" w:rsidRDefault="00BC2000" w:rsidP="00FD2A44">
            <w:r w:rsidRPr="00BC2000">
              <w:t>Dementia</w:t>
            </w:r>
          </w:p>
        </w:tc>
        <w:tc>
          <w:tcPr>
            <w:tcW w:w="2636" w:type="dxa"/>
          </w:tcPr>
          <w:p w14:paraId="76274485" w14:textId="77777777" w:rsidR="00BC2000" w:rsidRPr="00BC2000" w:rsidRDefault="00BC2000" w:rsidP="00FD2A44">
            <w:r w:rsidRPr="00BC2000">
              <w:t>35%</w:t>
            </w:r>
          </w:p>
        </w:tc>
      </w:tr>
    </w:tbl>
    <w:p w14:paraId="580ED314" w14:textId="77777777" w:rsidR="004E1FEA" w:rsidRPr="00F67100" w:rsidRDefault="004E1FEA" w:rsidP="004E1FEA">
      <w:pPr>
        <w:pStyle w:val="Heading3"/>
      </w:pPr>
      <w:r>
        <w:t>Activities undertaken by carers</w:t>
      </w:r>
    </w:p>
    <w:tbl>
      <w:tblPr>
        <w:tblStyle w:val="TableGrid"/>
        <w:tblW w:w="0" w:type="auto"/>
        <w:tblLook w:val="04A0" w:firstRow="1" w:lastRow="0" w:firstColumn="1" w:lastColumn="0" w:noHBand="0" w:noVBand="1"/>
      </w:tblPr>
      <w:tblGrid>
        <w:gridCol w:w="6374"/>
        <w:gridCol w:w="2636"/>
      </w:tblGrid>
      <w:tr w:rsidR="004E1FEA" w14:paraId="6AD23E68" w14:textId="77777777" w:rsidTr="005962B1">
        <w:tc>
          <w:tcPr>
            <w:tcW w:w="6374" w:type="dxa"/>
          </w:tcPr>
          <w:p w14:paraId="4BC48E44" w14:textId="77777777" w:rsidR="004E1FEA" w:rsidRDefault="004E1FEA" w:rsidP="005962B1">
            <w:pPr>
              <w:rPr>
                <w:b/>
              </w:rPr>
            </w:pPr>
            <w:r>
              <w:rPr>
                <w:b/>
              </w:rPr>
              <w:t>Activity</w:t>
            </w:r>
          </w:p>
        </w:tc>
        <w:tc>
          <w:tcPr>
            <w:tcW w:w="2636" w:type="dxa"/>
          </w:tcPr>
          <w:p w14:paraId="4E92A50A" w14:textId="77777777" w:rsidR="004E1FEA" w:rsidRDefault="004E1FEA" w:rsidP="005962B1">
            <w:pPr>
              <w:rPr>
                <w:b/>
              </w:rPr>
            </w:pPr>
            <w:r>
              <w:rPr>
                <w:b/>
              </w:rPr>
              <w:t>Percentage</w:t>
            </w:r>
          </w:p>
        </w:tc>
      </w:tr>
      <w:tr w:rsidR="004E1FEA" w14:paraId="3136A731" w14:textId="77777777" w:rsidTr="005962B1">
        <w:tc>
          <w:tcPr>
            <w:tcW w:w="6374" w:type="dxa"/>
          </w:tcPr>
          <w:p w14:paraId="1EB10A74" w14:textId="77777777" w:rsidR="004E1FEA" w:rsidRPr="005F2424" w:rsidRDefault="004E1FEA" w:rsidP="005962B1">
            <w:r w:rsidRPr="005F2424">
              <w:t>Keeping an eye on the person with care needs</w:t>
            </w:r>
          </w:p>
        </w:tc>
        <w:tc>
          <w:tcPr>
            <w:tcW w:w="2636" w:type="dxa"/>
          </w:tcPr>
          <w:p w14:paraId="08EAC28F" w14:textId="77777777" w:rsidR="004E1FEA" w:rsidRPr="005F2424" w:rsidRDefault="004E1FEA" w:rsidP="005962B1">
            <w:r w:rsidRPr="005F2424">
              <w:t>91%</w:t>
            </w:r>
          </w:p>
        </w:tc>
      </w:tr>
      <w:tr w:rsidR="004E1FEA" w14:paraId="324F9C91" w14:textId="77777777" w:rsidTr="005962B1">
        <w:tc>
          <w:tcPr>
            <w:tcW w:w="6374" w:type="dxa"/>
          </w:tcPr>
          <w:p w14:paraId="18B8C1F8" w14:textId="77777777" w:rsidR="004E1FEA" w:rsidRPr="005F2424" w:rsidRDefault="004E1FEA" w:rsidP="005962B1">
            <w:r w:rsidRPr="005F2424">
              <w:t>Helping with paperwork or financial matter</w:t>
            </w:r>
          </w:p>
        </w:tc>
        <w:tc>
          <w:tcPr>
            <w:tcW w:w="2636" w:type="dxa"/>
          </w:tcPr>
          <w:p w14:paraId="02F5FF4B" w14:textId="77777777" w:rsidR="004E1FEA" w:rsidRPr="005F2424" w:rsidRDefault="004E1FEA" w:rsidP="005962B1">
            <w:r w:rsidRPr="005F2424">
              <w:t>85%</w:t>
            </w:r>
          </w:p>
        </w:tc>
      </w:tr>
      <w:tr w:rsidR="004E1FEA" w14:paraId="733E166F" w14:textId="77777777" w:rsidTr="005962B1">
        <w:tc>
          <w:tcPr>
            <w:tcW w:w="6374" w:type="dxa"/>
          </w:tcPr>
          <w:p w14:paraId="3336229F" w14:textId="77777777" w:rsidR="004E1FEA" w:rsidRPr="005F2424" w:rsidRDefault="004E1FEA" w:rsidP="005962B1">
            <w:r w:rsidRPr="005F2424">
              <w:t>Helping to deal with (social) care services and benefits</w:t>
            </w:r>
          </w:p>
        </w:tc>
        <w:tc>
          <w:tcPr>
            <w:tcW w:w="2636" w:type="dxa"/>
          </w:tcPr>
          <w:p w14:paraId="3EDB043B" w14:textId="77777777" w:rsidR="004E1FEA" w:rsidRPr="005F2424" w:rsidRDefault="004E1FEA" w:rsidP="005962B1">
            <w:r w:rsidRPr="005F2424">
              <w:t>85%</w:t>
            </w:r>
          </w:p>
        </w:tc>
      </w:tr>
      <w:tr w:rsidR="004E1FEA" w14:paraId="172E9DD3" w14:textId="77777777" w:rsidTr="005962B1">
        <w:tc>
          <w:tcPr>
            <w:tcW w:w="6374" w:type="dxa"/>
          </w:tcPr>
          <w:p w14:paraId="2FEF99B6" w14:textId="77777777" w:rsidR="004E1FEA" w:rsidRPr="005F2424" w:rsidRDefault="004E1FEA" w:rsidP="005962B1">
            <w:r w:rsidRPr="005F2424">
              <w:t xml:space="preserve">Emotional </w:t>
            </w:r>
            <w:r>
              <w:t>s</w:t>
            </w:r>
            <w:r w:rsidRPr="005F2424">
              <w:t>upport</w:t>
            </w:r>
          </w:p>
        </w:tc>
        <w:tc>
          <w:tcPr>
            <w:tcW w:w="2636" w:type="dxa"/>
          </w:tcPr>
          <w:p w14:paraId="15E8987D" w14:textId="77777777" w:rsidR="004E1FEA" w:rsidRPr="005F2424" w:rsidRDefault="004E1FEA" w:rsidP="005962B1">
            <w:r w:rsidRPr="005F2424">
              <w:t>84%</w:t>
            </w:r>
          </w:p>
        </w:tc>
      </w:tr>
      <w:tr w:rsidR="004E1FEA" w14:paraId="5E7EED7F" w14:textId="77777777" w:rsidTr="005962B1">
        <w:tc>
          <w:tcPr>
            <w:tcW w:w="6374" w:type="dxa"/>
          </w:tcPr>
          <w:p w14:paraId="726953C8" w14:textId="77777777" w:rsidR="004E1FEA" w:rsidRPr="005F2424" w:rsidRDefault="004E1FEA" w:rsidP="005962B1">
            <w:r w:rsidRPr="005F2424">
              <w:t>Keeping the person with care needs company</w:t>
            </w:r>
          </w:p>
        </w:tc>
        <w:tc>
          <w:tcPr>
            <w:tcW w:w="2636" w:type="dxa"/>
          </w:tcPr>
          <w:p w14:paraId="4DC01F55" w14:textId="77777777" w:rsidR="004E1FEA" w:rsidRPr="005F2424" w:rsidRDefault="004E1FEA" w:rsidP="005962B1">
            <w:r w:rsidRPr="005F2424">
              <w:t>83%</w:t>
            </w:r>
          </w:p>
        </w:tc>
      </w:tr>
      <w:tr w:rsidR="004E1FEA" w14:paraId="4219F1B9" w14:textId="77777777" w:rsidTr="005962B1">
        <w:tc>
          <w:tcPr>
            <w:tcW w:w="6374" w:type="dxa"/>
          </w:tcPr>
          <w:p w14:paraId="466A1760" w14:textId="77777777" w:rsidR="004E1FEA" w:rsidRPr="005F2424" w:rsidRDefault="004E1FEA" w:rsidP="005962B1">
            <w:r w:rsidRPr="005F2424">
              <w:t>Taking the person with care needs out</w:t>
            </w:r>
          </w:p>
        </w:tc>
        <w:tc>
          <w:tcPr>
            <w:tcW w:w="2636" w:type="dxa"/>
          </w:tcPr>
          <w:p w14:paraId="6F0F897A" w14:textId="77777777" w:rsidR="004E1FEA" w:rsidRPr="005F2424" w:rsidRDefault="004E1FEA" w:rsidP="005962B1">
            <w:r w:rsidRPr="005F2424">
              <w:t>76%</w:t>
            </w:r>
          </w:p>
        </w:tc>
      </w:tr>
      <w:tr w:rsidR="004E1FEA" w14:paraId="2119F425" w14:textId="77777777" w:rsidTr="005962B1">
        <w:tc>
          <w:tcPr>
            <w:tcW w:w="6374" w:type="dxa"/>
          </w:tcPr>
          <w:p w14:paraId="785B2F54" w14:textId="77777777" w:rsidR="004E1FEA" w:rsidRPr="005F2424" w:rsidRDefault="004E1FEA" w:rsidP="005962B1">
            <w:r w:rsidRPr="005F2424">
              <w:t>Giving medicines</w:t>
            </w:r>
          </w:p>
        </w:tc>
        <w:tc>
          <w:tcPr>
            <w:tcW w:w="2636" w:type="dxa"/>
          </w:tcPr>
          <w:p w14:paraId="5D33A3A6" w14:textId="77777777" w:rsidR="004E1FEA" w:rsidRPr="005F2424" w:rsidRDefault="004E1FEA" w:rsidP="005962B1">
            <w:r w:rsidRPr="005F2424">
              <w:t>76%</w:t>
            </w:r>
          </w:p>
        </w:tc>
      </w:tr>
      <w:tr w:rsidR="004E1FEA" w14:paraId="417F6182" w14:textId="77777777" w:rsidTr="005962B1">
        <w:tc>
          <w:tcPr>
            <w:tcW w:w="6374" w:type="dxa"/>
          </w:tcPr>
          <w:p w14:paraId="7BB7E4F0" w14:textId="77777777" w:rsidR="004E1FEA" w:rsidRPr="005F2424" w:rsidRDefault="004E1FEA" w:rsidP="005962B1">
            <w:r w:rsidRPr="005F2424">
              <w:t>Personal care</w:t>
            </w:r>
          </w:p>
        </w:tc>
        <w:tc>
          <w:tcPr>
            <w:tcW w:w="2636" w:type="dxa"/>
          </w:tcPr>
          <w:p w14:paraId="58D6BF8D" w14:textId="77777777" w:rsidR="004E1FEA" w:rsidRPr="005F2424" w:rsidRDefault="004E1FEA" w:rsidP="005962B1">
            <w:r w:rsidRPr="005F2424">
              <w:t>69%</w:t>
            </w:r>
          </w:p>
        </w:tc>
      </w:tr>
      <w:tr w:rsidR="004E1FEA" w14:paraId="7E0CFB3D" w14:textId="77777777" w:rsidTr="005962B1">
        <w:trPr>
          <w:trHeight w:val="292"/>
        </w:trPr>
        <w:tc>
          <w:tcPr>
            <w:tcW w:w="6374" w:type="dxa"/>
          </w:tcPr>
          <w:p w14:paraId="4ECC9789" w14:textId="77777777" w:rsidR="004E1FEA" w:rsidRPr="005F2424" w:rsidRDefault="004E1FEA" w:rsidP="005962B1">
            <w:r w:rsidRPr="005F2424">
              <w:t>Physical help</w:t>
            </w:r>
          </w:p>
        </w:tc>
        <w:tc>
          <w:tcPr>
            <w:tcW w:w="2636" w:type="dxa"/>
          </w:tcPr>
          <w:p w14:paraId="19DE3E69" w14:textId="77777777" w:rsidR="004E1FEA" w:rsidRPr="005F2424" w:rsidRDefault="004E1FEA" w:rsidP="005962B1">
            <w:r w:rsidRPr="005F2424">
              <w:t>58%</w:t>
            </w:r>
          </w:p>
        </w:tc>
      </w:tr>
    </w:tbl>
    <w:p w14:paraId="530F3CBC" w14:textId="77777777" w:rsidR="00BC2000" w:rsidRPr="00F67100" w:rsidRDefault="00BC2000" w:rsidP="00F67100">
      <w:pPr>
        <w:pStyle w:val="Heading3"/>
      </w:pPr>
      <w:r>
        <w:t>Age of carer caring for someone with dementia</w:t>
      </w:r>
    </w:p>
    <w:tbl>
      <w:tblPr>
        <w:tblStyle w:val="TableGrid"/>
        <w:tblW w:w="0" w:type="auto"/>
        <w:tblLook w:val="04A0" w:firstRow="1" w:lastRow="0" w:firstColumn="1" w:lastColumn="0" w:noHBand="0" w:noVBand="1"/>
      </w:tblPr>
      <w:tblGrid>
        <w:gridCol w:w="6374"/>
        <w:gridCol w:w="2636"/>
      </w:tblGrid>
      <w:tr w:rsidR="00BC2000" w14:paraId="0A815113" w14:textId="77777777" w:rsidTr="00E8630E">
        <w:tc>
          <w:tcPr>
            <w:tcW w:w="6374" w:type="dxa"/>
          </w:tcPr>
          <w:p w14:paraId="0A99CF98" w14:textId="77777777" w:rsidR="00BC2000" w:rsidRDefault="00BC2000" w:rsidP="00FD2A44">
            <w:pPr>
              <w:rPr>
                <w:b/>
              </w:rPr>
            </w:pPr>
            <w:r>
              <w:rPr>
                <w:b/>
              </w:rPr>
              <w:t>Age range of carer</w:t>
            </w:r>
          </w:p>
        </w:tc>
        <w:tc>
          <w:tcPr>
            <w:tcW w:w="2636" w:type="dxa"/>
          </w:tcPr>
          <w:p w14:paraId="49BD9EC9" w14:textId="77777777" w:rsidR="00BC2000" w:rsidRDefault="00BC2000" w:rsidP="00FD2A44">
            <w:pPr>
              <w:rPr>
                <w:b/>
              </w:rPr>
            </w:pPr>
            <w:r>
              <w:rPr>
                <w:b/>
              </w:rPr>
              <w:t>Percentage caring for someone with dementia</w:t>
            </w:r>
          </w:p>
        </w:tc>
      </w:tr>
      <w:tr w:rsidR="00BC2000" w14:paraId="3D4A5097" w14:textId="77777777" w:rsidTr="00E8630E">
        <w:tc>
          <w:tcPr>
            <w:tcW w:w="6374" w:type="dxa"/>
          </w:tcPr>
          <w:p w14:paraId="1E100764" w14:textId="77777777" w:rsidR="00BC2000" w:rsidRPr="005F2424" w:rsidRDefault="00BC2000" w:rsidP="00FD2A44">
            <w:r w:rsidRPr="005F2424">
              <w:t>18 – 24</w:t>
            </w:r>
          </w:p>
        </w:tc>
        <w:tc>
          <w:tcPr>
            <w:tcW w:w="2636" w:type="dxa"/>
          </w:tcPr>
          <w:p w14:paraId="67F857B9" w14:textId="77777777" w:rsidR="00BC2000" w:rsidRPr="005F2424" w:rsidRDefault="00BC2000" w:rsidP="00FD2A44">
            <w:r w:rsidRPr="005F2424">
              <w:t>9%</w:t>
            </w:r>
          </w:p>
        </w:tc>
      </w:tr>
      <w:tr w:rsidR="00BC2000" w14:paraId="70E9EF4F" w14:textId="77777777" w:rsidTr="00E8630E">
        <w:tc>
          <w:tcPr>
            <w:tcW w:w="6374" w:type="dxa"/>
          </w:tcPr>
          <w:p w14:paraId="67027869" w14:textId="77777777" w:rsidR="00BC2000" w:rsidRPr="005F2424" w:rsidRDefault="00BC2000" w:rsidP="00FD2A44">
            <w:r w:rsidRPr="005F2424">
              <w:t>25 – 34</w:t>
            </w:r>
          </w:p>
        </w:tc>
        <w:tc>
          <w:tcPr>
            <w:tcW w:w="2636" w:type="dxa"/>
          </w:tcPr>
          <w:p w14:paraId="64D23FE4" w14:textId="77777777" w:rsidR="00BC2000" w:rsidRPr="005F2424" w:rsidRDefault="00BC2000" w:rsidP="00FD2A44">
            <w:r w:rsidRPr="005F2424">
              <w:t>15%</w:t>
            </w:r>
          </w:p>
        </w:tc>
      </w:tr>
      <w:tr w:rsidR="00BC2000" w14:paraId="0E154EA0" w14:textId="77777777" w:rsidTr="00E8630E">
        <w:tc>
          <w:tcPr>
            <w:tcW w:w="6374" w:type="dxa"/>
          </w:tcPr>
          <w:p w14:paraId="598E8F9A" w14:textId="77777777" w:rsidR="00BC2000" w:rsidRPr="005F2424" w:rsidRDefault="00BC2000" w:rsidP="00FD2A44">
            <w:r w:rsidRPr="005F2424">
              <w:t>35 – 44</w:t>
            </w:r>
          </w:p>
        </w:tc>
        <w:tc>
          <w:tcPr>
            <w:tcW w:w="2636" w:type="dxa"/>
          </w:tcPr>
          <w:p w14:paraId="4D27E1FC" w14:textId="77777777" w:rsidR="00BC2000" w:rsidRPr="005F2424" w:rsidRDefault="00BC2000" w:rsidP="00FD2A44">
            <w:r w:rsidRPr="005F2424">
              <w:t>19%</w:t>
            </w:r>
          </w:p>
        </w:tc>
      </w:tr>
      <w:tr w:rsidR="00BC2000" w14:paraId="690127B2" w14:textId="77777777" w:rsidTr="00E8630E">
        <w:tc>
          <w:tcPr>
            <w:tcW w:w="6374" w:type="dxa"/>
          </w:tcPr>
          <w:p w14:paraId="62760DF0" w14:textId="77777777" w:rsidR="00BC2000" w:rsidRPr="005F2424" w:rsidRDefault="00BC2000" w:rsidP="00FD2A44">
            <w:r w:rsidRPr="005F2424">
              <w:t>45 – 54</w:t>
            </w:r>
          </w:p>
        </w:tc>
        <w:tc>
          <w:tcPr>
            <w:tcW w:w="2636" w:type="dxa"/>
          </w:tcPr>
          <w:p w14:paraId="6601AAC5" w14:textId="77777777" w:rsidR="00BC2000" w:rsidRPr="005F2424" w:rsidRDefault="00BC2000" w:rsidP="00FD2A44">
            <w:r w:rsidRPr="005F2424">
              <w:t>26%</w:t>
            </w:r>
          </w:p>
        </w:tc>
      </w:tr>
      <w:tr w:rsidR="00BC2000" w14:paraId="430E73BD" w14:textId="77777777" w:rsidTr="00E8630E">
        <w:tc>
          <w:tcPr>
            <w:tcW w:w="6374" w:type="dxa"/>
          </w:tcPr>
          <w:p w14:paraId="6C5CD996" w14:textId="77777777" w:rsidR="00BC2000" w:rsidRPr="005F2424" w:rsidRDefault="00BC2000" w:rsidP="00FD2A44">
            <w:r w:rsidRPr="005F2424">
              <w:t>55 – 64</w:t>
            </w:r>
          </w:p>
        </w:tc>
        <w:tc>
          <w:tcPr>
            <w:tcW w:w="2636" w:type="dxa"/>
          </w:tcPr>
          <w:p w14:paraId="41144E59" w14:textId="77777777" w:rsidR="00BC2000" w:rsidRPr="005F2424" w:rsidRDefault="00BC2000" w:rsidP="00FD2A44">
            <w:r w:rsidRPr="005F2424">
              <w:t>31%</w:t>
            </w:r>
          </w:p>
        </w:tc>
      </w:tr>
      <w:tr w:rsidR="00BC2000" w14:paraId="79372893" w14:textId="77777777" w:rsidTr="00E8630E">
        <w:tc>
          <w:tcPr>
            <w:tcW w:w="6374" w:type="dxa"/>
          </w:tcPr>
          <w:p w14:paraId="1C7AF779" w14:textId="77777777" w:rsidR="00BC2000" w:rsidRPr="005F2424" w:rsidRDefault="00BC2000" w:rsidP="00FD2A44">
            <w:r w:rsidRPr="005F2424">
              <w:t>65 – 74</w:t>
            </w:r>
          </w:p>
        </w:tc>
        <w:tc>
          <w:tcPr>
            <w:tcW w:w="2636" w:type="dxa"/>
          </w:tcPr>
          <w:p w14:paraId="3474A052" w14:textId="77777777" w:rsidR="00BC2000" w:rsidRPr="005F2424" w:rsidRDefault="00BC2000" w:rsidP="00FD2A44">
            <w:r w:rsidRPr="005F2424">
              <w:t>34%</w:t>
            </w:r>
          </w:p>
        </w:tc>
      </w:tr>
      <w:tr w:rsidR="00BC2000" w14:paraId="04301C6C" w14:textId="77777777" w:rsidTr="00E8630E">
        <w:tc>
          <w:tcPr>
            <w:tcW w:w="6374" w:type="dxa"/>
          </w:tcPr>
          <w:p w14:paraId="541C97D9" w14:textId="77777777" w:rsidR="00BC2000" w:rsidRPr="005F2424" w:rsidRDefault="00BC2000" w:rsidP="00FD2A44">
            <w:r w:rsidRPr="005F2424">
              <w:t>75 – 84</w:t>
            </w:r>
          </w:p>
        </w:tc>
        <w:tc>
          <w:tcPr>
            <w:tcW w:w="2636" w:type="dxa"/>
          </w:tcPr>
          <w:p w14:paraId="67FA30D4" w14:textId="77777777" w:rsidR="00BC2000" w:rsidRPr="005F2424" w:rsidRDefault="00BC2000" w:rsidP="00FD2A44">
            <w:r w:rsidRPr="005F2424">
              <w:t>47%</w:t>
            </w:r>
          </w:p>
        </w:tc>
      </w:tr>
      <w:tr w:rsidR="00BC2000" w14:paraId="4E2E5294" w14:textId="77777777" w:rsidTr="00E8630E">
        <w:tc>
          <w:tcPr>
            <w:tcW w:w="6374" w:type="dxa"/>
          </w:tcPr>
          <w:p w14:paraId="44BF01D3" w14:textId="77777777" w:rsidR="00BC2000" w:rsidRPr="005F2424" w:rsidRDefault="00BC2000" w:rsidP="00FD2A44">
            <w:r w:rsidRPr="005F2424">
              <w:t>85+</w:t>
            </w:r>
          </w:p>
        </w:tc>
        <w:tc>
          <w:tcPr>
            <w:tcW w:w="2636" w:type="dxa"/>
          </w:tcPr>
          <w:p w14:paraId="6EB5C408" w14:textId="77777777" w:rsidR="00BC2000" w:rsidRPr="005F2424" w:rsidRDefault="00BC2000" w:rsidP="00FD2A44">
            <w:r w:rsidRPr="005F2424">
              <w:t>54%</w:t>
            </w:r>
          </w:p>
        </w:tc>
      </w:tr>
    </w:tbl>
    <w:p w14:paraId="6222D25A" w14:textId="77777777" w:rsidR="00BC2000" w:rsidRDefault="000C6412" w:rsidP="00BC2000">
      <w:pPr>
        <w:pStyle w:val="Heading2"/>
      </w:pPr>
      <w:r>
        <w:lastRenderedPageBreak/>
        <w:t>C</w:t>
      </w:r>
      <w:r w:rsidR="00BC2000">
        <w:t>arers</w:t>
      </w:r>
      <w:r>
        <w:t>’</w:t>
      </w:r>
      <w:r w:rsidR="00BC2000">
        <w:t xml:space="preserve"> own health</w:t>
      </w:r>
    </w:p>
    <w:p w14:paraId="6CECB7AF" w14:textId="77777777" w:rsidR="000C6412" w:rsidRDefault="00BC2000" w:rsidP="00BC2000">
      <w:r>
        <w:t xml:space="preserve">We know that </w:t>
      </w:r>
      <w:r w:rsidR="000C6412">
        <w:t>providing</w:t>
      </w:r>
      <w:r>
        <w:t xml:space="preserve"> care can have a detrimental </w:t>
      </w:r>
      <w:r w:rsidR="0062778E">
        <w:t>impact</w:t>
      </w:r>
      <w:r>
        <w:t xml:space="preserve"> on </w:t>
      </w:r>
      <w:r w:rsidR="0062778E">
        <w:t>a carer’s own health</w:t>
      </w:r>
      <w:r>
        <w:t xml:space="preserve">. </w:t>
      </w:r>
    </w:p>
    <w:p w14:paraId="504FB17B" w14:textId="77777777" w:rsidR="0062778E" w:rsidRDefault="0062778E" w:rsidP="00BC2000"/>
    <w:tbl>
      <w:tblPr>
        <w:tblStyle w:val="TableGrid"/>
        <w:tblW w:w="0" w:type="auto"/>
        <w:tblLook w:val="04A0" w:firstRow="1" w:lastRow="0" w:firstColumn="1" w:lastColumn="0" w:noHBand="0" w:noVBand="1"/>
      </w:tblPr>
      <w:tblGrid>
        <w:gridCol w:w="6091"/>
        <w:gridCol w:w="2919"/>
      </w:tblGrid>
      <w:tr w:rsidR="000C6412" w14:paraId="5E24DC74" w14:textId="77777777" w:rsidTr="000C6412">
        <w:tc>
          <w:tcPr>
            <w:tcW w:w="6091" w:type="dxa"/>
          </w:tcPr>
          <w:p w14:paraId="1C588DBC" w14:textId="77777777" w:rsidR="000C6412" w:rsidRPr="000C6412" w:rsidRDefault="000C6412" w:rsidP="00BC2000">
            <w:pPr>
              <w:rPr>
                <w:b/>
              </w:rPr>
            </w:pPr>
            <w:r w:rsidRPr="000C6412">
              <w:rPr>
                <w:b/>
              </w:rPr>
              <w:t>Impact on carer’s health as a result of caring role</w:t>
            </w:r>
          </w:p>
        </w:tc>
        <w:tc>
          <w:tcPr>
            <w:tcW w:w="2919" w:type="dxa"/>
          </w:tcPr>
          <w:p w14:paraId="0C4214CE" w14:textId="77777777" w:rsidR="000C6412" w:rsidRPr="000C6412" w:rsidRDefault="000C6412" w:rsidP="00BC2000">
            <w:pPr>
              <w:rPr>
                <w:b/>
              </w:rPr>
            </w:pPr>
            <w:r w:rsidRPr="000C6412">
              <w:rPr>
                <w:b/>
              </w:rPr>
              <w:t>Percentage</w:t>
            </w:r>
          </w:p>
        </w:tc>
      </w:tr>
      <w:tr w:rsidR="000C6412" w14:paraId="66B59BCA" w14:textId="77777777" w:rsidTr="000C6412">
        <w:tc>
          <w:tcPr>
            <w:tcW w:w="6091" w:type="dxa"/>
          </w:tcPr>
          <w:p w14:paraId="472A4221" w14:textId="77777777" w:rsidR="000C6412" w:rsidRDefault="000C6412" w:rsidP="00BC2000">
            <w:r>
              <w:t>Feeling tired</w:t>
            </w:r>
          </w:p>
        </w:tc>
        <w:tc>
          <w:tcPr>
            <w:tcW w:w="2919" w:type="dxa"/>
          </w:tcPr>
          <w:p w14:paraId="3B37CCB9" w14:textId="77777777" w:rsidR="000C6412" w:rsidRDefault="000C6412" w:rsidP="00BC2000">
            <w:r>
              <w:t>76%</w:t>
            </w:r>
          </w:p>
        </w:tc>
      </w:tr>
      <w:tr w:rsidR="000C6412" w14:paraId="4FC282B9" w14:textId="77777777" w:rsidTr="000C6412">
        <w:tc>
          <w:tcPr>
            <w:tcW w:w="6091" w:type="dxa"/>
          </w:tcPr>
          <w:p w14:paraId="60267244" w14:textId="77777777" w:rsidR="000C6412" w:rsidRDefault="000C6412" w:rsidP="00BC2000">
            <w:r>
              <w:t>Disturbed sleep</w:t>
            </w:r>
          </w:p>
        </w:tc>
        <w:tc>
          <w:tcPr>
            <w:tcW w:w="2919" w:type="dxa"/>
          </w:tcPr>
          <w:p w14:paraId="3DFA8B65" w14:textId="77777777" w:rsidR="000C6412" w:rsidRDefault="000C6412" w:rsidP="00BC2000">
            <w:r>
              <w:t>64%</w:t>
            </w:r>
          </w:p>
        </w:tc>
      </w:tr>
      <w:tr w:rsidR="000C6412" w14:paraId="4331F8CC" w14:textId="77777777" w:rsidTr="000C6412">
        <w:tc>
          <w:tcPr>
            <w:tcW w:w="6091" w:type="dxa"/>
          </w:tcPr>
          <w:p w14:paraId="741DD5A9" w14:textId="77777777" w:rsidR="000C6412" w:rsidRDefault="000C6412" w:rsidP="00BC2000">
            <w:r>
              <w:t>Feeling of stress</w:t>
            </w:r>
          </w:p>
        </w:tc>
        <w:tc>
          <w:tcPr>
            <w:tcW w:w="2919" w:type="dxa"/>
          </w:tcPr>
          <w:p w14:paraId="379AA829" w14:textId="77777777" w:rsidR="000C6412" w:rsidRDefault="000C6412" w:rsidP="00BC2000">
            <w:r>
              <w:t>43%</w:t>
            </w:r>
          </w:p>
        </w:tc>
      </w:tr>
      <w:tr w:rsidR="000C6412" w14:paraId="32EBF7A2" w14:textId="77777777" w:rsidTr="000C6412">
        <w:tc>
          <w:tcPr>
            <w:tcW w:w="6091" w:type="dxa"/>
          </w:tcPr>
          <w:p w14:paraId="6F228405" w14:textId="77777777" w:rsidR="000C6412" w:rsidRDefault="000C6412" w:rsidP="00BC2000">
            <w:r>
              <w:t>Feeling depressed</w:t>
            </w:r>
          </w:p>
        </w:tc>
        <w:tc>
          <w:tcPr>
            <w:tcW w:w="2919" w:type="dxa"/>
          </w:tcPr>
          <w:p w14:paraId="1A2FB2D3" w14:textId="77777777" w:rsidR="000C6412" w:rsidRDefault="000C6412" w:rsidP="00BC2000">
            <w:r>
              <w:t>42%</w:t>
            </w:r>
          </w:p>
        </w:tc>
      </w:tr>
      <w:tr w:rsidR="000C6412" w14:paraId="47132414" w14:textId="77777777" w:rsidTr="000C6412">
        <w:tc>
          <w:tcPr>
            <w:tcW w:w="6091" w:type="dxa"/>
          </w:tcPr>
          <w:p w14:paraId="2187D76C" w14:textId="77777777" w:rsidR="000C6412" w:rsidRDefault="000C6412" w:rsidP="00BC2000">
            <w:r>
              <w:t>Short tempered</w:t>
            </w:r>
          </w:p>
        </w:tc>
        <w:tc>
          <w:tcPr>
            <w:tcW w:w="2919" w:type="dxa"/>
          </w:tcPr>
          <w:p w14:paraId="73600E57" w14:textId="77777777" w:rsidR="000C6412" w:rsidRDefault="000C6412" w:rsidP="00BC2000">
            <w:r>
              <w:t>42%</w:t>
            </w:r>
          </w:p>
        </w:tc>
      </w:tr>
      <w:tr w:rsidR="000C6412" w14:paraId="52016E33" w14:textId="77777777" w:rsidTr="000C6412">
        <w:tc>
          <w:tcPr>
            <w:tcW w:w="6091" w:type="dxa"/>
          </w:tcPr>
          <w:p w14:paraId="445BF280" w14:textId="77777777" w:rsidR="000C6412" w:rsidRDefault="000C6412" w:rsidP="00BC2000">
            <w:r>
              <w:t>Physical strain (e.g. back pain)</w:t>
            </w:r>
          </w:p>
        </w:tc>
        <w:tc>
          <w:tcPr>
            <w:tcW w:w="2919" w:type="dxa"/>
          </w:tcPr>
          <w:p w14:paraId="1672ED2C" w14:textId="77777777" w:rsidR="000C6412" w:rsidRDefault="000C6412" w:rsidP="00BC2000">
            <w:r>
              <w:t>33%</w:t>
            </w:r>
          </w:p>
        </w:tc>
      </w:tr>
      <w:tr w:rsidR="000C6412" w14:paraId="08B31C45" w14:textId="77777777" w:rsidTr="000C6412">
        <w:tc>
          <w:tcPr>
            <w:tcW w:w="6091" w:type="dxa"/>
          </w:tcPr>
          <w:p w14:paraId="1BED83BB" w14:textId="77777777" w:rsidR="000C6412" w:rsidRDefault="000C6412" w:rsidP="00BC2000">
            <w:r>
              <w:t>Developed own health condition</w:t>
            </w:r>
          </w:p>
        </w:tc>
        <w:tc>
          <w:tcPr>
            <w:tcW w:w="2919" w:type="dxa"/>
          </w:tcPr>
          <w:p w14:paraId="01E35150" w14:textId="77777777" w:rsidR="000C6412" w:rsidRDefault="000C6412" w:rsidP="00BC2000">
            <w:r>
              <w:t>23%</w:t>
            </w:r>
          </w:p>
        </w:tc>
      </w:tr>
      <w:tr w:rsidR="000C6412" w14:paraId="0CDF6823" w14:textId="77777777" w:rsidTr="000C6412">
        <w:tc>
          <w:tcPr>
            <w:tcW w:w="6091" w:type="dxa"/>
          </w:tcPr>
          <w:p w14:paraId="5A502B01" w14:textId="77777777" w:rsidR="000C6412" w:rsidRDefault="000C6412" w:rsidP="00BC2000">
            <w:r>
              <w:t>Made existing condition worse</w:t>
            </w:r>
          </w:p>
        </w:tc>
        <w:tc>
          <w:tcPr>
            <w:tcW w:w="2919" w:type="dxa"/>
          </w:tcPr>
          <w:p w14:paraId="508EAF14" w14:textId="77777777" w:rsidR="000C6412" w:rsidRDefault="000C6412" w:rsidP="00BC2000">
            <w:r>
              <w:t>20%</w:t>
            </w:r>
          </w:p>
        </w:tc>
      </w:tr>
    </w:tbl>
    <w:p w14:paraId="71AAC055" w14:textId="77777777" w:rsidR="000C6412" w:rsidRPr="00F67100" w:rsidRDefault="000C6412" w:rsidP="00F67100">
      <w:pPr>
        <w:pStyle w:val="Heading3"/>
      </w:pPr>
      <w:r>
        <w:t>Time providing care</w:t>
      </w:r>
    </w:p>
    <w:p w14:paraId="3EA170DE" w14:textId="77777777" w:rsidR="000C6412" w:rsidRDefault="00FC50C0" w:rsidP="000C6412">
      <w:r>
        <w:t xml:space="preserve">The length of time a carer has been caring is heavily dependent on the reason the person they care for needs that support. For example, if a carer provide care for a person with learning difficulties they are more likely to be caring for many years. </w:t>
      </w:r>
    </w:p>
    <w:p w14:paraId="5273D561" w14:textId="77777777" w:rsidR="00FC50C0" w:rsidRDefault="00FC50C0" w:rsidP="000C6412"/>
    <w:tbl>
      <w:tblPr>
        <w:tblStyle w:val="TableGrid"/>
        <w:tblW w:w="0" w:type="auto"/>
        <w:tblLook w:val="04A0" w:firstRow="1" w:lastRow="0" w:firstColumn="1" w:lastColumn="0" w:noHBand="0" w:noVBand="1"/>
      </w:tblPr>
      <w:tblGrid>
        <w:gridCol w:w="6091"/>
        <w:gridCol w:w="2919"/>
      </w:tblGrid>
      <w:tr w:rsidR="00FC50C0" w14:paraId="2835BEB3" w14:textId="77777777" w:rsidTr="00E8630E">
        <w:tc>
          <w:tcPr>
            <w:tcW w:w="6091" w:type="dxa"/>
          </w:tcPr>
          <w:p w14:paraId="40CDD72F" w14:textId="77777777" w:rsidR="00FC50C0" w:rsidRPr="00FC50C0" w:rsidRDefault="00FC50C0" w:rsidP="000C6412">
            <w:pPr>
              <w:rPr>
                <w:b/>
              </w:rPr>
            </w:pPr>
            <w:r w:rsidRPr="00FC50C0">
              <w:rPr>
                <w:b/>
              </w:rPr>
              <w:t>Length of time as a carer</w:t>
            </w:r>
          </w:p>
        </w:tc>
        <w:tc>
          <w:tcPr>
            <w:tcW w:w="2919" w:type="dxa"/>
          </w:tcPr>
          <w:p w14:paraId="33C503F6" w14:textId="77777777" w:rsidR="00FC50C0" w:rsidRPr="00FC50C0" w:rsidRDefault="00FC50C0" w:rsidP="000C6412">
            <w:pPr>
              <w:rPr>
                <w:b/>
              </w:rPr>
            </w:pPr>
            <w:r w:rsidRPr="00FC50C0">
              <w:rPr>
                <w:b/>
              </w:rPr>
              <w:t>Percentage</w:t>
            </w:r>
          </w:p>
        </w:tc>
      </w:tr>
      <w:tr w:rsidR="00FC50C0" w14:paraId="6F4DD0A9" w14:textId="77777777" w:rsidTr="00E8630E">
        <w:tc>
          <w:tcPr>
            <w:tcW w:w="6091" w:type="dxa"/>
          </w:tcPr>
          <w:p w14:paraId="30E193B3" w14:textId="77777777" w:rsidR="00FC50C0" w:rsidRDefault="00FC50C0" w:rsidP="000C6412">
            <w:r>
              <w:t>20 years or more</w:t>
            </w:r>
          </w:p>
        </w:tc>
        <w:tc>
          <w:tcPr>
            <w:tcW w:w="2919" w:type="dxa"/>
          </w:tcPr>
          <w:p w14:paraId="58EBF61E" w14:textId="77777777" w:rsidR="00FC50C0" w:rsidRDefault="00FC50C0" w:rsidP="000C6412">
            <w:r>
              <w:t>21.5%</w:t>
            </w:r>
          </w:p>
        </w:tc>
      </w:tr>
      <w:tr w:rsidR="00FC50C0" w14:paraId="2860DB73" w14:textId="77777777" w:rsidTr="00E8630E">
        <w:tc>
          <w:tcPr>
            <w:tcW w:w="6091" w:type="dxa"/>
          </w:tcPr>
          <w:p w14:paraId="174AD597" w14:textId="77777777" w:rsidR="00FC50C0" w:rsidRDefault="00FC50C0" w:rsidP="000C6412">
            <w:r>
              <w:t>15 – 20 years</w:t>
            </w:r>
          </w:p>
        </w:tc>
        <w:tc>
          <w:tcPr>
            <w:tcW w:w="2919" w:type="dxa"/>
          </w:tcPr>
          <w:p w14:paraId="2CF0AE70" w14:textId="77777777" w:rsidR="00FC50C0" w:rsidRDefault="00FC50C0" w:rsidP="000C6412">
            <w:r>
              <w:t>7.5%</w:t>
            </w:r>
          </w:p>
        </w:tc>
      </w:tr>
      <w:tr w:rsidR="00FC50C0" w14:paraId="15202626" w14:textId="77777777" w:rsidTr="00E8630E">
        <w:tc>
          <w:tcPr>
            <w:tcW w:w="6091" w:type="dxa"/>
          </w:tcPr>
          <w:p w14:paraId="26CF9FAC" w14:textId="77777777" w:rsidR="00FC50C0" w:rsidRDefault="00FC50C0" w:rsidP="000C6412">
            <w:r>
              <w:t>10 – 15 years</w:t>
            </w:r>
          </w:p>
        </w:tc>
        <w:tc>
          <w:tcPr>
            <w:tcW w:w="2919" w:type="dxa"/>
          </w:tcPr>
          <w:p w14:paraId="062D5B9C" w14:textId="77777777" w:rsidR="00FC50C0" w:rsidRDefault="00FC50C0" w:rsidP="000C6412">
            <w:r>
              <w:t>11%</w:t>
            </w:r>
          </w:p>
        </w:tc>
      </w:tr>
      <w:tr w:rsidR="00FC50C0" w14:paraId="1F822375" w14:textId="77777777" w:rsidTr="00E8630E">
        <w:tc>
          <w:tcPr>
            <w:tcW w:w="6091" w:type="dxa"/>
          </w:tcPr>
          <w:p w14:paraId="0D64354F" w14:textId="77777777" w:rsidR="00FC50C0" w:rsidRDefault="00FC50C0" w:rsidP="000C6412">
            <w:r>
              <w:t>5 – 10 years</w:t>
            </w:r>
          </w:p>
        </w:tc>
        <w:tc>
          <w:tcPr>
            <w:tcW w:w="2919" w:type="dxa"/>
          </w:tcPr>
          <w:p w14:paraId="585DBF56" w14:textId="77777777" w:rsidR="00FC50C0" w:rsidRDefault="00FC50C0" w:rsidP="000C6412">
            <w:r>
              <w:t>23%</w:t>
            </w:r>
          </w:p>
        </w:tc>
      </w:tr>
      <w:tr w:rsidR="00FC50C0" w14:paraId="1E815D23" w14:textId="77777777" w:rsidTr="00E8630E">
        <w:tc>
          <w:tcPr>
            <w:tcW w:w="6091" w:type="dxa"/>
          </w:tcPr>
          <w:p w14:paraId="5E96F17B" w14:textId="77777777" w:rsidR="00FC50C0" w:rsidRDefault="00FC50C0" w:rsidP="000C6412">
            <w:r>
              <w:t>3 – 5 years</w:t>
            </w:r>
          </w:p>
        </w:tc>
        <w:tc>
          <w:tcPr>
            <w:tcW w:w="2919" w:type="dxa"/>
          </w:tcPr>
          <w:p w14:paraId="5FBADB71" w14:textId="77777777" w:rsidR="00FC50C0" w:rsidRDefault="00FC50C0" w:rsidP="000C6412">
            <w:r>
              <w:t>16%</w:t>
            </w:r>
          </w:p>
        </w:tc>
      </w:tr>
      <w:tr w:rsidR="00FC50C0" w14:paraId="03280140" w14:textId="77777777" w:rsidTr="00E8630E">
        <w:tc>
          <w:tcPr>
            <w:tcW w:w="6091" w:type="dxa"/>
          </w:tcPr>
          <w:p w14:paraId="63DECE72" w14:textId="77777777" w:rsidR="00FC50C0" w:rsidRDefault="00FC50C0" w:rsidP="000C6412">
            <w:r>
              <w:t>1 – 3 years</w:t>
            </w:r>
          </w:p>
        </w:tc>
        <w:tc>
          <w:tcPr>
            <w:tcW w:w="2919" w:type="dxa"/>
          </w:tcPr>
          <w:p w14:paraId="75A2D73C" w14:textId="77777777" w:rsidR="00FC50C0" w:rsidRDefault="00FC50C0" w:rsidP="000C6412">
            <w:r>
              <w:t>15%</w:t>
            </w:r>
          </w:p>
        </w:tc>
      </w:tr>
      <w:tr w:rsidR="00FC50C0" w14:paraId="1B8B531C" w14:textId="77777777" w:rsidTr="00E8630E">
        <w:tc>
          <w:tcPr>
            <w:tcW w:w="6091" w:type="dxa"/>
          </w:tcPr>
          <w:p w14:paraId="30C4AFD2" w14:textId="77777777" w:rsidR="00FC50C0" w:rsidRDefault="00FC50C0" w:rsidP="000C6412">
            <w:r>
              <w:t>Less than a year</w:t>
            </w:r>
          </w:p>
        </w:tc>
        <w:tc>
          <w:tcPr>
            <w:tcW w:w="2919" w:type="dxa"/>
          </w:tcPr>
          <w:p w14:paraId="0499CE48" w14:textId="77777777" w:rsidR="00FC50C0" w:rsidRDefault="00FC50C0" w:rsidP="000C6412">
            <w:r>
              <w:t>3%</w:t>
            </w:r>
          </w:p>
        </w:tc>
      </w:tr>
    </w:tbl>
    <w:p w14:paraId="4B00206E" w14:textId="77777777" w:rsidR="00FC50C0" w:rsidRDefault="00FC50C0" w:rsidP="000C6412"/>
    <w:p w14:paraId="5EE8EBD5" w14:textId="77777777" w:rsidR="00FC50C0" w:rsidRDefault="00FC50C0" w:rsidP="00F67100">
      <w:pPr>
        <w:pStyle w:val="Heading3"/>
      </w:pPr>
      <w:r>
        <w:t>Number of hours carers spend in their caring role</w:t>
      </w:r>
    </w:p>
    <w:p w14:paraId="28AC3C59" w14:textId="77777777" w:rsidR="00FC50C0" w:rsidRDefault="00FC50C0" w:rsidP="00FC50C0">
      <w:r>
        <w:t>The majority of carers (58.5%) spend more than 35 hours per week providing care</w:t>
      </w:r>
      <w:r w:rsidR="004E1FEA">
        <w:t>. Over one-third of carers (36</w:t>
      </w:r>
      <w:r>
        <w:t xml:space="preserve">%) provide care for more than 100 hours per week. </w:t>
      </w:r>
    </w:p>
    <w:p w14:paraId="7293E05F" w14:textId="77777777" w:rsidR="00FC50C0" w:rsidRDefault="00FC50C0" w:rsidP="00FC50C0"/>
    <w:tbl>
      <w:tblPr>
        <w:tblStyle w:val="TableGrid"/>
        <w:tblW w:w="0" w:type="auto"/>
        <w:tblLook w:val="04A0" w:firstRow="1" w:lastRow="0" w:firstColumn="1" w:lastColumn="0" w:noHBand="0" w:noVBand="1"/>
      </w:tblPr>
      <w:tblGrid>
        <w:gridCol w:w="6091"/>
        <w:gridCol w:w="2919"/>
      </w:tblGrid>
      <w:tr w:rsidR="00FC50C0" w14:paraId="50C22D1A" w14:textId="77777777" w:rsidTr="00E8630E">
        <w:tc>
          <w:tcPr>
            <w:tcW w:w="6091" w:type="dxa"/>
          </w:tcPr>
          <w:p w14:paraId="2E1385A3" w14:textId="77777777" w:rsidR="00FC50C0" w:rsidRPr="00FC50C0" w:rsidRDefault="00FC50C0" w:rsidP="00FC50C0">
            <w:pPr>
              <w:rPr>
                <w:b/>
              </w:rPr>
            </w:pPr>
            <w:r>
              <w:rPr>
                <w:b/>
              </w:rPr>
              <w:t>Time spent each week in caring role (hours)</w:t>
            </w:r>
          </w:p>
        </w:tc>
        <w:tc>
          <w:tcPr>
            <w:tcW w:w="2919" w:type="dxa"/>
          </w:tcPr>
          <w:p w14:paraId="3DFA920F" w14:textId="77777777" w:rsidR="00FC50C0" w:rsidRPr="00FC50C0" w:rsidRDefault="00FC50C0" w:rsidP="00FC50C0">
            <w:pPr>
              <w:rPr>
                <w:b/>
              </w:rPr>
            </w:pPr>
            <w:r w:rsidRPr="00FC50C0">
              <w:rPr>
                <w:b/>
              </w:rPr>
              <w:t>Percentage</w:t>
            </w:r>
          </w:p>
        </w:tc>
      </w:tr>
      <w:tr w:rsidR="00FC50C0" w14:paraId="5394C69B" w14:textId="77777777" w:rsidTr="00E8630E">
        <w:tc>
          <w:tcPr>
            <w:tcW w:w="6091" w:type="dxa"/>
          </w:tcPr>
          <w:p w14:paraId="44492E9D" w14:textId="77777777" w:rsidR="00FC50C0" w:rsidRPr="00FC50C0" w:rsidRDefault="00FC50C0" w:rsidP="00FC50C0">
            <w:r>
              <w:t xml:space="preserve">0 – 9 </w:t>
            </w:r>
          </w:p>
        </w:tc>
        <w:tc>
          <w:tcPr>
            <w:tcW w:w="2919" w:type="dxa"/>
          </w:tcPr>
          <w:p w14:paraId="468E13A7" w14:textId="77777777" w:rsidR="00FC50C0" w:rsidRDefault="00FC50C0" w:rsidP="00FC50C0">
            <w:r>
              <w:t>6%</w:t>
            </w:r>
          </w:p>
        </w:tc>
      </w:tr>
      <w:tr w:rsidR="00FC50C0" w14:paraId="1484EEB5" w14:textId="77777777" w:rsidTr="00E8630E">
        <w:tc>
          <w:tcPr>
            <w:tcW w:w="6091" w:type="dxa"/>
          </w:tcPr>
          <w:p w14:paraId="0D941974" w14:textId="77777777" w:rsidR="00FC50C0" w:rsidRDefault="00FC50C0" w:rsidP="00FC50C0">
            <w:r>
              <w:t xml:space="preserve">10 – 19 </w:t>
            </w:r>
          </w:p>
        </w:tc>
        <w:tc>
          <w:tcPr>
            <w:tcW w:w="2919" w:type="dxa"/>
          </w:tcPr>
          <w:p w14:paraId="05A13543" w14:textId="77777777" w:rsidR="00FC50C0" w:rsidRDefault="00FC50C0" w:rsidP="00FC50C0">
            <w:r>
              <w:t>7%</w:t>
            </w:r>
          </w:p>
        </w:tc>
      </w:tr>
      <w:tr w:rsidR="00FC50C0" w14:paraId="31052217" w14:textId="77777777" w:rsidTr="00E8630E">
        <w:tc>
          <w:tcPr>
            <w:tcW w:w="6091" w:type="dxa"/>
          </w:tcPr>
          <w:p w14:paraId="4AC66567" w14:textId="77777777" w:rsidR="00FC50C0" w:rsidRDefault="00FC50C0" w:rsidP="00FC50C0">
            <w:r>
              <w:t>20 – 34</w:t>
            </w:r>
          </w:p>
        </w:tc>
        <w:tc>
          <w:tcPr>
            <w:tcW w:w="2919" w:type="dxa"/>
          </w:tcPr>
          <w:p w14:paraId="382CFD7B" w14:textId="77777777" w:rsidR="00FC50C0" w:rsidRDefault="00FC50C0" w:rsidP="00FC50C0">
            <w:r>
              <w:t>7%</w:t>
            </w:r>
          </w:p>
        </w:tc>
      </w:tr>
      <w:tr w:rsidR="00FC50C0" w14:paraId="4C015972" w14:textId="77777777" w:rsidTr="00E8630E">
        <w:tc>
          <w:tcPr>
            <w:tcW w:w="6091" w:type="dxa"/>
          </w:tcPr>
          <w:p w14:paraId="2CF98DFF" w14:textId="77777777" w:rsidR="00FC50C0" w:rsidRDefault="00FC50C0" w:rsidP="00FC50C0">
            <w:r>
              <w:t>35 – 49</w:t>
            </w:r>
          </w:p>
        </w:tc>
        <w:tc>
          <w:tcPr>
            <w:tcW w:w="2919" w:type="dxa"/>
          </w:tcPr>
          <w:p w14:paraId="7CC9279B" w14:textId="77777777" w:rsidR="00FC50C0" w:rsidRDefault="00FC50C0" w:rsidP="00FC50C0">
            <w:r>
              <w:t>8%</w:t>
            </w:r>
          </w:p>
        </w:tc>
      </w:tr>
      <w:tr w:rsidR="00FC50C0" w14:paraId="0209F273" w14:textId="77777777" w:rsidTr="00E8630E">
        <w:tc>
          <w:tcPr>
            <w:tcW w:w="6091" w:type="dxa"/>
          </w:tcPr>
          <w:p w14:paraId="6AD1593B" w14:textId="77777777" w:rsidR="00FC50C0" w:rsidRDefault="00FC50C0" w:rsidP="00FC50C0">
            <w:r>
              <w:t xml:space="preserve">50 – 74 </w:t>
            </w:r>
          </w:p>
        </w:tc>
        <w:tc>
          <w:tcPr>
            <w:tcW w:w="2919" w:type="dxa"/>
          </w:tcPr>
          <w:p w14:paraId="7C591F12" w14:textId="77777777" w:rsidR="00FC50C0" w:rsidRDefault="00FC50C0" w:rsidP="00FC50C0">
            <w:r>
              <w:t>7%</w:t>
            </w:r>
          </w:p>
        </w:tc>
      </w:tr>
      <w:tr w:rsidR="00FC50C0" w14:paraId="791E3048" w14:textId="77777777" w:rsidTr="00E8630E">
        <w:tc>
          <w:tcPr>
            <w:tcW w:w="6091" w:type="dxa"/>
          </w:tcPr>
          <w:p w14:paraId="52A6D176" w14:textId="77777777" w:rsidR="00FC50C0" w:rsidRDefault="00FC50C0" w:rsidP="00FC50C0">
            <w:r>
              <w:t>75 – 99</w:t>
            </w:r>
          </w:p>
        </w:tc>
        <w:tc>
          <w:tcPr>
            <w:tcW w:w="2919" w:type="dxa"/>
          </w:tcPr>
          <w:p w14:paraId="64BE71BC" w14:textId="77777777" w:rsidR="00FC50C0" w:rsidRDefault="00FC50C0" w:rsidP="00FC50C0">
            <w:r>
              <w:t>8%</w:t>
            </w:r>
          </w:p>
        </w:tc>
      </w:tr>
      <w:tr w:rsidR="00FC50C0" w14:paraId="1F88B208" w14:textId="77777777" w:rsidTr="00E8630E">
        <w:tc>
          <w:tcPr>
            <w:tcW w:w="6091" w:type="dxa"/>
          </w:tcPr>
          <w:p w14:paraId="162F2515" w14:textId="77777777" w:rsidR="00FC50C0" w:rsidRDefault="00FC50C0" w:rsidP="00FC50C0">
            <w:r>
              <w:t>100 +</w:t>
            </w:r>
          </w:p>
        </w:tc>
        <w:tc>
          <w:tcPr>
            <w:tcW w:w="2919" w:type="dxa"/>
          </w:tcPr>
          <w:p w14:paraId="29AE51E6" w14:textId="77777777" w:rsidR="00FC50C0" w:rsidRDefault="00FC50C0" w:rsidP="00FC50C0">
            <w:r>
              <w:t>36%</w:t>
            </w:r>
          </w:p>
        </w:tc>
      </w:tr>
      <w:tr w:rsidR="00FC50C0" w14:paraId="51A72A1E" w14:textId="77777777" w:rsidTr="00E8630E">
        <w:tc>
          <w:tcPr>
            <w:tcW w:w="6091" w:type="dxa"/>
          </w:tcPr>
          <w:p w14:paraId="5A22AFB3" w14:textId="77777777" w:rsidR="00FC50C0" w:rsidRDefault="00FC50C0" w:rsidP="00FC50C0">
            <w:r>
              <w:t>Other</w:t>
            </w:r>
          </w:p>
        </w:tc>
        <w:tc>
          <w:tcPr>
            <w:tcW w:w="2919" w:type="dxa"/>
          </w:tcPr>
          <w:p w14:paraId="7FBB5B36" w14:textId="77777777" w:rsidR="00FC50C0" w:rsidRDefault="00FC50C0" w:rsidP="00FC50C0">
            <w:r>
              <w:t>12%</w:t>
            </w:r>
          </w:p>
        </w:tc>
      </w:tr>
      <w:tr w:rsidR="00FC50C0" w14:paraId="5B3F4083" w14:textId="77777777" w:rsidTr="00E8630E">
        <w:tc>
          <w:tcPr>
            <w:tcW w:w="6091" w:type="dxa"/>
          </w:tcPr>
          <w:p w14:paraId="15079259" w14:textId="77777777" w:rsidR="00FC50C0" w:rsidRDefault="00FC50C0" w:rsidP="00FC50C0">
            <w:r>
              <w:t>Varies – 20 hours or more</w:t>
            </w:r>
          </w:p>
        </w:tc>
        <w:tc>
          <w:tcPr>
            <w:tcW w:w="2919" w:type="dxa"/>
          </w:tcPr>
          <w:p w14:paraId="5E8624D1" w14:textId="77777777" w:rsidR="00FC50C0" w:rsidRDefault="00FC50C0" w:rsidP="00FC50C0">
            <w:r>
              <w:t>7%</w:t>
            </w:r>
          </w:p>
        </w:tc>
      </w:tr>
      <w:tr w:rsidR="00FC50C0" w14:paraId="67C1BC74" w14:textId="77777777" w:rsidTr="00E8630E">
        <w:tc>
          <w:tcPr>
            <w:tcW w:w="6091" w:type="dxa"/>
          </w:tcPr>
          <w:p w14:paraId="249AD295" w14:textId="77777777" w:rsidR="00FC50C0" w:rsidRDefault="00FC50C0" w:rsidP="00FC50C0">
            <w:r>
              <w:t>Varies – under 20 hours per week</w:t>
            </w:r>
          </w:p>
        </w:tc>
        <w:tc>
          <w:tcPr>
            <w:tcW w:w="2919" w:type="dxa"/>
          </w:tcPr>
          <w:p w14:paraId="628D74AB" w14:textId="77777777" w:rsidR="00FC50C0" w:rsidRDefault="00FC50C0" w:rsidP="00FC50C0">
            <w:r>
              <w:t>3%</w:t>
            </w:r>
          </w:p>
        </w:tc>
      </w:tr>
    </w:tbl>
    <w:p w14:paraId="0E67A368" w14:textId="77777777" w:rsidR="00FC50C0" w:rsidRDefault="00FC50C0" w:rsidP="00FC50C0"/>
    <w:p w14:paraId="38F48A86" w14:textId="77777777" w:rsidR="00F67100" w:rsidRDefault="00F67100" w:rsidP="00F67100">
      <w:pPr>
        <w:pStyle w:val="Heading2"/>
      </w:pPr>
      <w:r>
        <w:t>Satisfaction with social services</w:t>
      </w:r>
    </w:p>
    <w:p w14:paraId="187303EF" w14:textId="2B87E60E" w:rsidR="00F67100" w:rsidRDefault="004E1FEA" w:rsidP="00FC50C0">
      <w:r>
        <w:t>Over 70% of carers surveyed said they were satisfied with the support they and the person they cared for received from social services</w:t>
      </w:r>
      <w:r w:rsidR="00F67100">
        <w:t xml:space="preserve">. </w:t>
      </w:r>
      <w:r>
        <w:t>T</w:t>
      </w:r>
      <w:r w:rsidR="00F67100">
        <w:t xml:space="preserve">he survey asked carers “Overall, how satisfied or dissatisfied are you with the support or services you and the person you care for have received from </w:t>
      </w:r>
      <w:r w:rsidR="00CB5ED8">
        <w:t>s</w:t>
      </w:r>
      <w:r w:rsidR="00F67100">
        <w:t xml:space="preserve">ocial </w:t>
      </w:r>
      <w:r w:rsidR="00CB5ED8">
        <w:t>s</w:t>
      </w:r>
      <w:r w:rsidR="00F67100">
        <w:t>ervices in the last 12 months?”</w:t>
      </w:r>
    </w:p>
    <w:p w14:paraId="0F6AA5B8" w14:textId="77777777" w:rsidR="00F67100" w:rsidRDefault="00F67100" w:rsidP="00F67100">
      <w:pPr>
        <w:pStyle w:val="ListParagraph"/>
        <w:numPr>
          <w:ilvl w:val="0"/>
          <w:numId w:val="5"/>
        </w:numPr>
      </w:pPr>
      <w:r>
        <w:t>71% were extremely, very or quite satisfied with the support they received</w:t>
      </w:r>
    </w:p>
    <w:p w14:paraId="096438AC" w14:textId="77777777" w:rsidR="00F67100" w:rsidRDefault="00F67100" w:rsidP="00F67100">
      <w:pPr>
        <w:pStyle w:val="ListParagraph"/>
        <w:numPr>
          <w:ilvl w:val="0"/>
          <w:numId w:val="5"/>
        </w:numPr>
      </w:pPr>
      <w:r>
        <w:t>13.%% were extremely, very or quite dissatisfied</w:t>
      </w:r>
    </w:p>
    <w:p w14:paraId="64DED422" w14:textId="77777777" w:rsidR="00F67100" w:rsidRDefault="00F67100" w:rsidP="00F67100">
      <w:pPr>
        <w:pStyle w:val="ListParagraph"/>
        <w:numPr>
          <w:ilvl w:val="0"/>
          <w:numId w:val="5"/>
        </w:numPr>
      </w:pPr>
      <w:r>
        <w:t>15.5% who were neither satisfied or dissatisfied</w:t>
      </w:r>
    </w:p>
    <w:p w14:paraId="537CF84A" w14:textId="77777777" w:rsidR="00F67100" w:rsidRPr="00FC50C0" w:rsidRDefault="00F67100" w:rsidP="00FC50C0"/>
    <w:p w14:paraId="7C4E03D9" w14:textId="77777777" w:rsidR="00FC50C0" w:rsidRDefault="00FC50C0" w:rsidP="00FC50C0">
      <w:pPr>
        <w:pStyle w:val="Heading2"/>
      </w:pPr>
      <w:r>
        <w:t>Social contact and isolation</w:t>
      </w:r>
    </w:p>
    <w:p w14:paraId="57F69B49" w14:textId="77777777" w:rsidR="00FC50C0" w:rsidRDefault="00FC50C0" w:rsidP="00FC50C0">
      <w:r>
        <w:t>Loneliness is linked to poor mental and physical health. The survey asked carers; “Thinking about how much social contact you’ve had with people you like, which of the following statements best describes your social situation”. It found that:</w:t>
      </w:r>
    </w:p>
    <w:p w14:paraId="2AB01850" w14:textId="77777777" w:rsidR="00FC50C0" w:rsidRDefault="00FC50C0" w:rsidP="00FC50C0">
      <w:pPr>
        <w:pStyle w:val="ListParagraph"/>
        <w:numPr>
          <w:ilvl w:val="0"/>
          <w:numId w:val="5"/>
        </w:numPr>
      </w:pPr>
      <w:r>
        <w:t>35.5%</w:t>
      </w:r>
      <w:r w:rsidR="00A76775">
        <w:t xml:space="preserve"> </w:t>
      </w:r>
      <w:r>
        <w:t>of carers reported they have as much social contact as they want with people they like</w:t>
      </w:r>
    </w:p>
    <w:p w14:paraId="40A171E8" w14:textId="77777777" w:rsidR="00FC50C0" w:rsidRDefault="00FC50C0" w:rsidP="00FC50C0">
      <w:pPr>
        <w:pStyle w:val="ListParagraph"/>
        <w:numPr>
          <w:ilvl w:val="0"/>
          <w:numId w:val="5"/>
        </w:numPr>
      </w:pPr>
      <w:r>
        <w:t>48.5% of carers said they have some social contact but not enough</w:t>
      </w:r>
    </w:p>
    <w:p w14:paraId="0C9B97A4" w14:textId="77777777" w:rsidR="00FC50C0" w:rsidRDefault="00FC50C0" w:rsidP="00FC50C0">
      <w:pPr>
        <w:pStyle w:val="ListParagraph"/>
        <w:numPr>
          <w:ilvl w:val="0"/>
          <w:numId w:val="5"/>
        </w:numPr>
      </w:pPr>
      <w:r>
        <w:t>16% reported they have little social contact and feel socially isolated</w:t>
      </w:r>
    </w:p>
    <w:p w14:paraId="4815378F" w14:textId="77777777" w:rsidR="00FC50C0" w:rsidRPr="00FC50C0" w:rsidRDefault="00FC50C0" w:rsidP="00FC50C0">
      <w:pPr>
        <w:pStyle w:val="ListParagraph"/>
        <w:ind w:left="360"/>
      </w:pPr>
    </w:p>
    <w:p w14:paraId="71013FA3" w14:textId="77777777" w:rsidR="00FC50C0" w:rsidRDefault="00FC50C0" w:rsidP="00FC50C0">
      <w:pPr>
        <w:pStyle w:val="Heading2"/>
      </w:pPr>
      <w:r>
        <w:t>How easy is it to find information about support?</w:t>
      </w:r>
    </w:p>
    <w:p w14:paraId="57F3567C" w14:textId="77777777" w:rsidR="00FC50C0" w:rsidRDefault="00FC50C0" w:rsidP="00FC50C0">
      <w:r>
        <w:t>Access to information should help carers and the people they carte for have greater choice and control over their lives. The survey asked “In the last 12 months, have you found it easy or difficult to find information and advice about support, services or benefits?”</w:t>
      </w:r>
    </w:p>
    <w:p w14:paraId="2D49C012" w14:textId="77777777" w:rsidR="00FC50C0" w:rsidRDefault="00FC50C0" w:rsidP="00FC50C0"/>
    <w:p w14:paraId="015A3109" w14:textId="77777777" w:rsidR="00FC50C0" w:rsidRDefault="00FC50C0" w:rsidP="00FC50C0">
      <w:r>
        <w:t>Overall excluding those that did not try to find information and advice, the survey found that:</w:t>
      </w:r>
    </w:p>
    <w:p w14:paraId="7C17C61C" w14:textId="77777777" w:rsidR="00FC50C0" w:rsidRDefault="00FC50C0" w:rsidP="00FC50C0">
      <w:pPr>
        <w:pStyle w:val="ListParagraph"/>
        <w:numPr>
          <w:ilvl w:val="0"/>
          <w:numId w:val="6"/>
        </w:numPr>
      </w:pPr>
      <w:r>
        <w:t xml:space="preserve">17% of carers found it very easy to find </w:t>
      </w:r>
    </w:p>
    <w:p w14:paraId="371827F2" w14:textId="77777777" w:rsidR="00FC50C0" w:rsidRDefault="00FC50C0" w:rsidP="00FC50C0">
      <w:pPr>
        <w:pStyle w:val="ListParagraph"/>
        <w:numPr>
          <w:ilvl w:val="0"/>
          <w:numId w:val="6"/>
        </w:numPr>
      </w:pPr>
      <w:r>
        <w:t xml:space="preserve">47% found it fairly easy, </w:t>
      </w:r>
    </w:p>
    <w:p w14:paraId="34C13306" w14:textId="77777777" w:rsidR="00FC50C0" w:rsidRDefault="00FC50C0" w:rsidP="00FC50C0">
      <w:pPr>
        <w:pStyle w:val="ListParagraph"/>
        <w:numPr>
          <w:ilvl w:val="0"/>
          <w:numId w:val="6"/>
        </w:numPr>
      </w:pPr>
      <w:r>
        <w:t xml:space="preserve">24% found it fairly difficult </w:t>
      </w:r>
    </w:p>
    <w:p w14:paraId="72CF4B49" w14:textId="77777777" w:rsidR="0062778E" w:rsidRDefault="00FC50C0" w:rsidP="0062778E">
      <w:pPr>
        <w:pStyle w:val="ListParagraph"/>
        <w:numPr>
          <w:ilvl w:val="0"/>
          <w:numId w:val="6"/>
        </w:numPr>
      </w:pPr>
      <w:r>
        <w:t xml:space="preserve">12% </w:t>
      </w:r>
      <w:r w:rsidR="0062778E">
        <w:t>found it very difficult to find</w:t>
      </w:r>
    </w:p>
    <w:p w14:paraId="1588351F" w14:textId="77777777" w:rsidR="00F67100" w:rsidRDefault="00F67100" w:rsidP="00F67100">
      <w:pPr>
        <w:pStyle w:val="ListParagraph"/>
        <w:ind w:left="360"/>
      </w:pPr>
    </w:p>
    <w:p w14:paraId="342334BC" w14:textId="77777777" w:rsidR="006D542E" w:rsidRDefault="006D542E" w:rsidP="00FC50C0">
      <w:pPr>
        <w:pStyle w:val="Heading2"/>
      </w:pPr>
    </w:p>
    <w:p w14:paraId="2CBCDBAD" w14:textId="77777777" w:rsidR="006D542E" w:rsidRDefault="006D542E" w:rsidP="00FC50C0">
      <w:pPr>
        <w:pStyle w:val="Heading2"/>
      </w:pPr>
    </w:p>
    <w:p w14:paraId="4BD2AE2B" w14:textId="77777777" w:rsidR="006D542E" w:rsidRDefault="006D542E" w:rsidP="00FC50C0">
      <w:pPr>
        <w:pStyle w:val="Heading2"/>
      </w:pPr>
    </w:p>
    <w:p w14:paraId="4BB34362" w14:textId="1469A472" w:rsidR="006D542E" w:rsidRDefault="006D542E" w:rsidP="00FC50C0">
      <w:pPr>
        <w:pStyle w:val="Heading2"/>
      </w:pPr>
    </w:p>
    <w:p w14:paraId="33D664B0" w14:textId="77777777" w:rsidR="006D542E" w:rsidRPr="006D542E" w:rsidRDefault="006D542E" w:rsidP="006D542E"/>
    <w:p w14:paraId="256A94A5" w14:textId="774C7862" w:rsidR="00FC50C0" w:rsidRDefault="00FC50C0" w:rsidP="00FC50C0">
      <w:pPr>
        <w:pStyle w:val="Heading2"/>
      </w:pPr>
      <w:r>
        <w:lastRenderedPageBreak/>
        <w:t>Discussions about the support or services provided to the person with care needs</w:t>
      </w:r>
    </w:p>
    <w:p w14:paraId="04D54221" w14:textId="77777777" w:rsidR="00FC50C0" w:rsidRDefault="00FC50C0" w:rsidP="00FC50C0"/>
    <w:p w14:paraId="0456AAB5" w14:textId="77777777" w:rsidR="00FC50C0" w:rsidRPr="00FC50C0" w:rsidRDefault="00FC50C0" w:rsidP="00FC50C0">
      <w:pPr>
        <w:rPr>
          <w:color w:val="000000" w:themeColor="text1"/>
        </w:rPr>
      </w:pPr>
      <w:r w:rsidRPr="00FC50C0">
        <w:rPr>
          <w:color w:val="000000" w:themeColor="text1"/>
        </w:rPr>
        <w:t>The SACE survey recognises that carers should be respected as equal partners in service design for the individual(s) they care for as this improve the outcomes for both the care</w:t>
      </w:r>
      <w:r w:rsidR="004E1FEA">
        <w:rPr>
          <w:color w:val="000000" w:themeColor="text1"/>
        </w:rPr>
        <w:t>r</w:t>
      </w:r>
      <w:r w:rsidRPr="00FC50C0">
        <w:rPr>
          <w:color w:val="000000" w:themeColor="text1"/>
        </w:rPr>
        <w:t xml:space="preserve"> and the cared for person. The survey asked carers</w:t>
      </w:r>
      <w:r w:rsidR="004E1FEA">
        <w:rPr>
          <w:color w:val="000000" w:themeColor="text1"/>
        </w:rPr>
        <w:t>,</w:t>
      </w:r>
      <w:r w:rsidRPr="00FC50C0">
        <w:rPr>
          <w:color w:val="000000" w:themeColor="text1"/>
        </w:rPr>
        <w:t xml:space="preserve"> “In the last 12 months, do you feel you have been involved or consulted as much as you wanted to be, in discussions about the support or services provided to the person you care for?”</w:t>
      </w:r>
    </w:p>
    <w:p w14:paraId="0BDF9682" w14:textId="77777777" w:rsidR="00FC50C0" w:rsidRPr="00FC50C0" w:rsidRDefault="00FC50C0" w:rsidP="00FC50C0">
      <w:pPr>
        <w:rPr>
          <w:color w:val="000000" w:themeColor="text1"/>
        </w:rPr>
      </w:pPr>
    </w:p>
    <w:p w14:paraId="6BC1A745" w14:textId="546EB275" w:rsidR="006D542E" w:rsidRDefault="00FC50C0" w:rsidP="00FC50C0">
      <w:pPr>
        <w:rPr>
          <w:color w:val="000000" w:themeColor="text1"/>
        </w:rPr>
      </w:pPr>
      <w:r w:rsidRPr="00FC50C0">
        <w:rPr>
          <w:color w:val="000000" w:themeColor="text1"/>
        </w:rPr>
        <w:t xml:space="preserve">Excluding carers that reported there had been no discussions that there were aware of, </w:t>
      </w:r>
      <w:r>
        <w:rPr>
          <w:color w:val="000000" w:themeColor="text1"/>
        </w:rPr>
        <w:t>the survey found:</w:t>
      </w:r>
    </w:p>
    <w:p w14:paraId="0A3F4F58" w14:textId="77777777" w:rsidR="00FC50C0" w:rsidRPr="005F2424" w:rsidRDefault="00FC50C0" w:rsidP="005F2424">
      <w:pPr>
        <w:pStyle w:val="ListParagraph"/>
        <w:numPr>
          <w:ilvl w:val="0"/>
          <w:numId w:val="7"/>
        </w:numPr>
        <w:rPr>
          <w:color w:val="000000" w:themeColor="text1"/>
        </w:rPr>
      </w:pPr>
      <w:r w:rsidRPr="005F2424">
        <w:rPr>
          <w:color w:val="000000" w:themeColor="text1"/>
        </w:rPr>
        <w:t>39.5% of carers reported they always felt involved or consulted</w:t>
      </w:r>
    </w:p>
    <w:p w14:paraId="39D39133" w14:textId="77777777" w:rsidR="00FC50C0" w:rsidRPr="005F2424" w:rsidRDefault="00F67100" w:rsidP="005F2424">
      <w:pPr>
        <w:pStyle w:val="ListParagraph"/>
        <w:numPr>
          <w:ilvl w:val="0"/>
          <w:numId w:val="7"/>
        </w:numPr>
        <w:rPr>
          <w:color w:val="000000" w:themeColor="text1"/>
        </w:rPr>
      </w:pPr>
      <w:r>
        <w:rPr>
          <w:color w:val="000000" w:themeColor="text1"/>
        </w:rPr>
        <w:t xml:space="preserve">31.% </w:t>
      </w:r>
      <w:r w:rsidR="00FC50C0" w:rsidRPr="005F2424">
        <w:rPr>
          <w:color w:val="000000" w:themeColor="text1"/>
        </w:rPr>
        <w:t>usually felt involved or consulted</w:t>
      </w:r>
    </w:p>
    <w:p w14:paraId="04762E25" w14:textId="77777777" w:rsidR="00FC50C0" w:rsidRPr="005F2424" w:rsidRDefault="00FC50C0" w:rsidP="005F2424">
      <w:pPr>
        <w:pStyle w:val="ListParagraph"/>
        <w:numPr>
          <w:ilvl w:val="0"/>
          <w:numId w:val="7"/>
        </w:numPr>
        <w:rPr>
          <w:color w:val="000000" w:themeColor="text1"/>
        </w:rPr>
      </w:pPr>
      <w:r w:rsidRPr="005F2424">
        <w:rPr>
          <w:color w:val="000000" w:themeColor="text1"/>
        </w:rPr>
        <w:t xml:space="preserve">22% sometime felt involved or consulted </w:t>
      </w:r>
    </w:p>
    <w:p w14:paraId="44D4E209" w14:textId="77777777" w:rsidR="00FC50C0" w:rsidRPr="005F2424" w:rsidRDefault="00FC50C0" w:rsidP="005F2424">
      <w:pPr>
        <w:pStyle w:val="ListParagraph"/>
        <w:numPr>
          <w:ilvl w:val="0"/>
          <w:numId w:val="7"/>
        </w:numPr>
        <w:rPr>
          <w:color w:val="000000" w:themeColor="text1"/>
        </w:rPr>
      </w:pPr>
      <w:r w:rsidRPr="005F2424">
        <w:rPr>
          <w:color w:val="000000" w:themeColor="text1"/>
        </w:rPr>
        <w:t>7.5% never felt involved or consulted.</w:t>
      </w:r>
    </w:p>
    <w:p w14:paraId="35F04DA2" w14:textId="77777777" w:rsidR="00BC2000" w:rsidRDefault="00BC2000" w:rsidP="00FD2A44">
      <w:pPr>
        <w:rPr>
          <w:b/>
        </w:rPr>
      </w:pPr>
    </w:p>
    <w:p w14:paraId="5EDF1BF0" w14:textId="140997A3" w:rsidR="00FC50C0" w:rsidRDefault="00FC50C0" w:rsidP="00FC50C0">
      <w:pPr>
        <w:pStyle w:val="Heading2"/>
      </w:pPr>
      <w:r>
        <w:t xml:space="preserve">Carer reported </w:t>
      </w:r>
      <w:r w:rsidR="00CB5ED8">
        <w:t xml:space="preserve">quality </w:t>
      </w:r>
      <w:r>
        <w:t xml:space="preserve">of </w:t>
      </w:r>
      <w:r w:rsidR="00CB5ED8">
        <w:t>life score</w:t>
      </w:r>
    </w:p>
    <w:p w14:paraId="303FA918" w14:textId="4BAF22D7" w:rsidR="00FC50C0" w:rsidRDefault="00FC50C0" w:rsidP="00FC50C0">
      <w:pPr>
        <w:rPr>
          <w:color w:val="000000" w:themeColor="text1"/>
        </w:rPr>
      </w:pPr>
      <w:r w:rsidRPr="00FC50C0">
        <w:rPr>
          <w:color w:val="000000" w:themeColor="text1"/>
        </w:rPr>
        <w:t xml:space="preserve">The Carer-reported quality of life score gives an overarching view of the quality of life of carers. The measure combines individual responses to six questions measuring different outcomes relating to overall quality of life. </w:t>
      </w:r>
      <w:r>
        <w:rPr>
          <w:color w:val="000000" w:themeColor="text1"/>
        </w:rPr>
        <w:t xml:space="preserve">The scale is 0 to 12, with 12 being the highest measure on the scale. </w:t>
      </w:r>
    </w:p>
    <w:p w14:paraId="1546CE92" w14:textId="77777777" w:rsidR="00FC50C0" w:rsidRDefault="00FC50C0" w:rsidP="00FC50C0">
      <w:pPr>
        <w:rPr>
          <w:color w:val="000000" w:themeColor="text1"/>
        </w:rPr>
      </w:pPr>
    </w:p>
    <w:tbl>
      <w:tblPr>
        <w:tblStyle w:val="TableGrid"/>
        <w:tblW w:w="0" w:type="auto"/>
        <w:tblLook w:val="04A0" w:firstRow="1" w:lastRow="0" w:firstColumn="1" w:lastColumn="0" w:noHBand="0" w:noVBand="1"/>
      </w:tblPr>
      <w:tblGrid>
        <w:gridCol w:w="5665"/>
        <w:gridCol w:w="2552"/>
      </w:tblGrid>
      <w:tr w:rsidR="001A1D2B" w14:paraId="6C0E910F" w14:textId="77777777" w:rsidTr="00E8630E">
        <w:tc>
          <w:tcPr>
            <w:tcW w:w="5665" w:type="dxa"/>
          </w:tcPr>
          <w:p w14:paraId="586F6A24" w14:textId="77777777" w:rsidR="001A1D2B" w:rsidRPr="00D81119" w:rsidRDefault="001A1D2B" w:rsidP="001A1D2B">
            <w:pPr>
              <w:rPr>
                <w:b/>
                <w:color w:val="000000" w:themeColor="text1"/>
              </w:rPr>
            </w:pPr>
            <w:r w:rsidRPr="00D81119">
              <w:rPr>
                <w:b/>
                <w:color w:val="000000" w:themeColor="text1"/>
              </w:rPr>
              <w:t>Carer report quality of life scale</w:t>
            </w:r>
          </w:p>
        </w:tc>
        <w:tc>
          <w:tcPr>
            <w:tcW w:w="2552" w:type="dxa"/>
          </w:tcPr>
          <w:p w14:paraId="4547BC46" w14:textId="77777777" w:rsidR="001A1D2B" w:rsidRPr="001A1D2B" w:rsidRDefault="001A1D2B" w:rsidP="001A1D2B">
            <w:pPr>
              <w:rPr>
                <w:b/>
                <w:color w:val="000000" w:themeColor="text1"/>
              </w:rPr>
            </w:pPr>
            <w:r w:rsidRPr="001A1D2B">
              <w:rPr>
                <w:b/>
                <w:color w:val="000000" w:themeColor="text1"/>
              </w:rPr>
              <w:t>Percentage of carers</w:t>
            </w:r>
          </w:p>
        </w:tc>
      </w:tr>
      <w:tr w:rsidR="001A1D2B" w14:paraId="0E76128D" w14:textId="77777777" w:rsidTr="00E8630E">
        <w:tc>
          <w:tcPr>
            <w:tcW w:w="5665" w:type="dxa"/>
          </w:tcPr>
          <w:p w14:paraId="05DFDF2B" w14:textId="77777777" w:rsidR="001A1D2B" w:rsidRDefault="001A1D2B" w:rsidP="001A1D2B">
            <w:pPr>
              <w:tabs>
                <w:tab w:val="left" w:pos="915"/>
              </w:tabs>
              <w:rPr>
                <w:color w:val="000000" w:themeColor="text1"/>
              </w:rPr>
            </w:pPr>
            <w:r>
              <w:rPr>
                <w:color w:val="000000" w:themeColor="text1"/>
              </w:rPr>
              <w:t>0-2</w:t>
            </w:r>
            <w:r>
              <w:rPr>
                <w:color w:val="000000" w:themeColor="text1"/>
              </w:rPr>
              <w:tab/>
            </w:r>
          </w:p>
        </w:tc>
        <w:tc>
          <w:tcPr>
            <w:tcW w:w="2552" w:type="dxa"/>
          </w:tcPr>
          <w:p w14:paraId="78812BB1" w14:textId="77777777" w:rsidR="001A1D2B" w:rsidRDefault="001A1D2B" w:rsidP="001A1D2B">
            <w:pPr>
              <w:rPr>
                <w:color w:val="000000" w:themeColor="text1"/>
              </w:rPr>
            </w:pPr>
            <w:r>
              <w:rPr>
                <w:color w:val="000000" w:themeColor="text1"/>
              </w:rPr>
              <w:t>3%</w:t>
            </w:r>
          </w:p>
        </w:tc>
      </w:tr>
      <w:tr w:rsidR="001A1D2B" w14:paraId="7B3D4F99" w14:textId="77777777" w:rsidTr="00E8630E">
        <w:tc>
          <w:tcPr>
            <w:tcW w:w="5665" w:type="dxa"/>
          </w:tcPr>
          <w:p w14:paraId="62B25867" w14:textId="77777777" w:rsidR="001A1D2B" w:rsidRDefault="001A1D2B" w:rsidP="001A1D2B">
            <w:pPr>
              <w:rPr>
                <w:color w:val="000000" w:themeColor="text1"/>
              </w:rPr>
            </w:pPr>
            <w:r>
              <w:rPr>
                <w:color w:val="000000" w:themeColor="text1"/>
              </w:rPr>
              <w:t>3</w:t>
            </w:r>
          </w:p>
        </w:tc>
        <w:tc>
          <w:tcPr>
            <w:tcW w:w="2552" w:type="dxa"/>
          </w:tcPr>
          <w:p w14:paraId="6EF6558F" w14:textId="77777777" w:rsidR="001A1D2B" w:rsidRDefault="001A1D2B" w:rsidP="001A1D2B">
            <w:pPr>
              <w:rPr>
                <w:color w:val="000000" w:themeColor="text1"/>
              </w:rPr>
            </w:pPr>
            <w:r>
              <w:rPr>
                <w:color w:val="000000" w:themeColor="text1"/>
              </w:rPr>
              <w:t>4%</w:t>
            </w:r>
          </w:p>
        </w:tc>
      </w:tr>
      <w:tr w:rsidR="001A1D2B" w14:paraId="376E6A6A" w14:textId="77777777" w:rsidTr="00E8630E">
        <w:tc>
          <w:tcPr>
            <w:tcW w:w="5665" w:type="dxa"/>
          </w:tcPr>
          <w:p w14:paraId="7A239C23" w14:textId="77777777" w:rsidR="001A1D2B" w:rsidRDefault="001A1D2B" w:rsidP="001A1D2B">
            <w:pPr>
              <w:rPr>
                <w:color w:val="000000" w:themeColor="text1"/>
              </w:rPr>
            </w:pPr>
            <w:r>
              <w:rPr>
                <w:color w:val="000000" w:themeColor="text1"/>
              </w:rPr>
              <w:t>4</w:t>
            </w:r>
          </w:p>
        </w:tc>
        <w:tc>
          <w:tcPr>
            <w:tcW w:w="2552" w:type="dxa"/>
          </w:tcPr>
          <w:p w14:paraId="4329D8C9" w14:textId="77777777" w:rsidR="001A1D2B" w:rsidRDefault="001A1D2B" w:rsidP="001A1D2B">
            <w:pPr>
              <w:rPr>
                <w:color w:val="000000" w:themeColor="text1"/>
              </w:rPr>
            </w:pPr>
            <w:r>
              <w:rPr>
                <w:color w:val="000000" w:themeColor="text1"/>
              </w:rPr>
              <w:t>5.5%</w:t>
            </w:r>
          </w:p>
        </w:tc>
      </w:tr>
      <w:tr w:rsidR="001A1D2B" w14:paraId="6D325E75" w14:textId="77777777" w:rsidTr="00E8630E">
        <w:tc>
          <w:tcPr>
            <w:tcW w:w="5665" w:type="dxa"/>
          </w:tcPr>
          <w:p w14:paraId="21F544B8" w14:textId="77777777" w:rsidR="001A1D2B" w:rsidRDefault="001A1D2B" w:rsidP="001A1D2B">
            <w:pPr>
              <w:rPr>
                <w:color w:val="000000" w:themeColor="text1"/>
              </w:rPr>
            </w:pPr>
            <w:r>
              <w:rPr>
                <w:color w:val="000000" w:themeColor="text1"/>
              </w:rPr>
              <w:t>5</w:t>
            </w:r>
          </w:p>
        </w:tc>
        <w:tc>
          <w:tcPr>
            <w:tcW w:w="2552" w:type="dxa"/>
          </w:tcPr>
          <w:p w14:paraId="595A0303" w14:textId="77777777" w:rsidR="001A1D2B" w:rsidRDefault="001A1D2B" w:rsidP="001A1D2B">
            <w:pPr>
              <w:rPr>
                <w:color w:val="000000" w:themeColor="text1"/>
              </w:rPr>
            </w:pPr>
            <w:r>
              <w:rPr>
                <w:color w:val="000000" w:themeColor="text1"/>
              </w:rPr>
              <w:t>7.5%</w:t>
            </w:r>
          </w:p>
        </w:tc>
      </w:tr>
      <w:tr w:rsidR="001A1D2B" w14:paraId="6AA52051" w14:textId="77777777" w:rsidTr="00E8630E">
        <w:tc>
          <w:tcPr>
            <w:tcW w:w="5665" w:type="dxa"/>
          </w:tcPr>
          <w:p w14:paraId="405E9C93" w14:textId="77777777" w:rsidR="001A1D2B" w:rsidRDefault="001A1D2B" w:rsidP="001A1D2B">
            <w:pPr>
              <w:rPr>
                <w:color w:val="000000" w:themeColor="text1"/>
              </w:rPr>
            </w:pPr>
            <w:r>
              <w:rPr>
                <w:color w:val="000000" w:themeColor="text1"/>
              </w:rPr>
              <w:t>6</w:t>
            </w:r>
          </w:p>
        </w:tc>
        <w:tc>
          <w:tcPr>
            <w:tcW w:w="2552" w:type="dxa"/>
          </w:tcPr>
          <w:p w14:paraId="08A986CD" w14:textId="77777777" w:rsidR="001A1D2B" w:rsidRDefault="001A1D2B" w:rsidP="001A1D2B">
            <w:pPr>
              <w:rPr>
                <w:color w:val="000000" w:themeColor="text1"/>
              </w:rPr>
            </w:pPr>
            <w:r>
              <w:rPr>
                <w:color w:val="000000" w:themeColor="text1"/>
              </w:rPr>
              <w:t>10.5%</w:t>
            </w:r>
          </w:p>
        </w:tc>
      </w:tr>
      <w:tr w:rsidR="001A1D2B" w14:paraId="474C3695" w14:textId="77777777" w:rsidTr="00E8630E">
        <w:tc>
          <w:tcPr>
            <w:tcW w:w="5665" w:type="dxa"/>
          </w:tcPr>
          <w:p w14:paraId="5BD5A5F5" w14:textId="77777777" w:rsidR="001A1D2B" w:rsidRDefault="001A1D2B" w:rsidP="001A1D2B">
            <w:pPr>
              <w:rPr>
                <w:color w:val="000000" w:themeColor="text1"/>
              </w:rPr>
            </w:pPr>
            <w:r>
              <w:rPr>
                <w:color w:val="000000" w:themeColor="text1"/>
              </w:rPr>
              <w:t>7</w:t>
            </w:r>
          </w:p>
        </w:tc>
        <w:tc>
          <w:tcPr>
            <w:tcW w:w="2552" w:type="dxa"/>
          </w:tcPr>
          <w:p w14:paraId="2E4C7C60" w14:textId="77777777" w:rsidR="001A1D2B" w:rsidRDefault="001A1D2B" w:rsidP="001A1D2B">
            <w:pPr>
              <w:rPr>
                <w:color w:val="000000" w:themeColor="text1"/>
              </w:rPr>
            </w:pPr>
            <w:r>
              <w:rPr>
                <w:color w:val="000000" w:themeColor="text1"/>
              </w:rPr>
              <w:t>14.5%</w:t>
            </w:r>
          </w:p>
        </w:tc>
      </w:tr>
      <w:tr w:rsidR="001A1D2B" w14:paraId="382ACE1B" w14:textId="77777777" w:rsidTr="00E8630E">
        <w:tc>
          <w:tcPr>
            <w:tcW w:w="5665" w:type="dxa"/>
          </w:tcPr>
          <w:p w14:paraId="51D6C573" w14:textId="77777777" w:rsidR="001A1D2B" w:rsidRDefault="001A1D2B" w:rsidP="001A1D2B">
            <w:pPr>
              <w:rPr>
                <w:color w:val="000000" w:themeColor="text1"/>
              </w:rPr>
            </w:pPr>
            <w:r>
              <w:rPr>
                <w:color w:val="000000" w:themeColor="text1"/>
              </w:rPr>
              <w:t>8</w:t>
            </w:r>
          </w:p>
        </w:tc>
        <w:tc>
          <w:tcPr>
            <w:tcW w:w="2552" w:type="dxa"/>
          </w:tcPr>
          <w:p w14:paraId="3761A605" w14:textId="77777777" w:rsidR="001A1D2B" w:rsidRDefault="001A1D2B" w:rsidP="001A1D2B">
            <w:pPr>
              <w:rPr>
                <w:color w:val="000000" w:themeColor="text1"/>
              </w:rPr>
            </w:pPr>
            <w:r>
              <w:rPr>
                <w:color w:val="000000" w:themeColor="text1"/>
              </w:rPr>
              <w:t>14.5%</w:t>
            </w:r>
          </w:p>
        </w:tc>
      </w:tr>
      <w:tr w:rsidR="001A1D2B" w14:paraId="5ED02CBD" w14:textId="77777777" w:rsidTr="00E8630E">
        <w:tc>
          <w:tcPr>
            <w:tcW w:w="5665" w:type="dxa"/>
          </w:tcPr>
          <w:p w14:paraId="5D31B5CD" w14:textId="77777777" w:rsidR="001A1D2B" w:rsidRDefault="001A1D2B" w:rsidP="001A1D2B">
            <w:pPr>
              <w:rPr>
                <w:color w:val="000000" w:themeColor="text1"/>
              </w:rPr>
            </w:pPr>
            <w:r>
              <w:rPr>
                <w:color w:val="000000" w:themeColor="text1"/>
              </w:rPr>
              <w:t>9</w:t>
            </w:r>
          </w:p>
        </w:tc>
        <w:tc>
          <w:tcPr>
            <w:tcW w:w="2552" w:type="dxa"/>
          </w:tcPr>
          <w:p w14:paraId="57186B10" w14:textId="77777777" w:rsidR="001A1D2B" w:rsidRDefault="001A1D2B" w:rsidP="001A1D2B">
            <w:pPr>
              <w:rPr>
                <w:color w:val="000000" w:themeColor="text1"/>
              </w:rPr>
            </w:pPr>
            <w:r>
              <w:rPr>
                <w:color w:val="000000" w:themeColor="text1"/>
              </w:rPr>
              <w:t>12%</w:t>
            </w:r>
          </w:p>
        </w:tc>
      </w:tr>
      <w:tr w:rsidR="001A1D2B" w14:paraId="4BE0330E" w14:textId="77777777" w:rsidTr="00E8630E">
        <w:tc>
          <w:tcPr>
            <w:tcW w:w="5665" w:type="dxa"/>
          </w:tcPr>
          <w:p w14:paraId="73512606" w14:textId="77777777" w:rsidR="001A1D2B" w:rsidRDefault="001A1D2B" w:rsidP="001A1D2B">
            <w:pPr>
              <w:rPr>
                <w:color w:val="000000" w:themeColor="text1"/>
              </w:rPr>
            </w:pPr>
            <w:r>
              <w:rPr>
                <w:color w:val="000000" w:themeColor="text1"/>
              </w:rPr>
              <w:t>10</w:t>
            </w:r>
          </w:p>
        </w:tc>
        <w:tc>
          <w:tcPr>
            <w:tcW w:w="2552" w:type="dxa"/>
          </w:tcPr>
          <w:p w14:paraId="0B2CAC71" w14:textId="77777777" w:rsidR="001A1D2B" w:rsidRDefault="001A1D2B" w:rsidP="001A1D2B">
            <w:pPr>
              <w:rPr>
                <w:color w:val="000000" w:themeColor="text1"/>
              </w:rPr>
            </w:pPr>
            <w:r>
              <w:rPr>
                <w:color w:val="000000" w:themeColor="text1"/>
              </w:rPr>
              <w:t>9.5%</w:t>
            </w:r>
          </w:p>
        </w:tc>
      </w:tr>
      <w:tr w:rsidR="001A1D2B" w14:paraId="6E5A23DE" w14:textId="77777777" w:rsidTr="00E8630E">
        <w:tc>
          <w:tcPr>
            <w:tcW w:w="5665" w:type="dxa"/>
          </w:tcPr>
          <w:p w14:paraId="73138F47" w14:textId="77777777" w:rsidR="001A1D2B" w:rsidRDefault="001A1D2B" w:rsidP="001A1D2B">
            <w:pPr>
              <w:rPr>
                <w:color w:val="000000" w:themeColor="text1"/>
              </w:rPr>
            </w:pPr>
            <w:r>
              <w:rPr>
                <w:color w:val="000000" w:themeColor="text1"/>
              </w:rPr>
              <w:t>11</w:t>
            </w:r>
          </w:p>
        </w:tc>
        <w:tc>
          <w:tcPr>
            <w:tcW w:w="2552" w:type="dxa"/>
          </w:tcPr>
          <w:p w14:paraId="506C85E9" w14:textId="77777777" w:rsidR="001A1D2B" w:rsidRDefault="001A1D2B" w:rsidP="001A1D2B">
            <w:pPr>
              <w:rPr>
                <w:color w:val="000000" w:themeColor="text1"/>
              </w:rPr>
            </w:pPr>
            <w:r>
              <w:rPr>
                <w:color w:val="000000" w:themeColor="text1"/>
              </w:rPr>
              <w:t>6.5%</w:t>
            </w:r>
          </w:p>
        </w:tc>
      </w:tr>
      <w:tr w:rsidR="001A1D2B" w14:paraId="5D2E6DB1" w14:textId="77777777" w:rsidTr="00E8630E">
        <w:tc>
          <w:tcPr>
            <w:tcW w:w="5665" w:type="dxa"/>
          </w:tcPr>
          <w:p w14:paraId="131EEEE4" w14:textId="77777777" w:rsidR="001A1D2B" w:rsidRDefault="001A1D2B" w:rsidP="001A1D2B">
            <w:pPr>
              <w:rPr>
                <w:color w:val="000000" w:themeColor="text1"/>
              </w:rPr>
            </w:pPr>
            <w:r>
              <w:rPr>
                <w:color w:val="000000" w:themeColor="text1"/>
              </w:rPr>
              <w:t>12</w:t>
            </w:r>
          </w:p>
        </w:tc>
        <w:tc>
          <w:tcPr>
            <w:tcW w:w="2552" w:type="dxa"/>
          </w:tcPr>
          <w:p w14:paraId="24BF6264" w14:textId="77777777" w:rsidR="001A1D2B" w:rsidRDefault="001A1D2B" w:rsidP="001A1D2B">
            <w:pPr>
              <w:rPr>
                <w:color w:val="000000" w:themeColor="text1"/>
              </w:rPr>
            </w:pPr>
            <w:r>
              <w:rPr>
                <w:color w:val="000000" w:themeColor="text1"/>
              </w:rPr>
              <w:t>11%</w:t>
            </w:r>
          </w:p>
        </w:tc>
      </w:tr>
    </w:tbl>
    <w:p w14:paraId="5933178F" w14:textId="77777777" w:rsidR="00FD2A44" w:rsidRDefault="00FD2A44" w:rsidP="00FD2A44">
      <w:pPr>
        <w:pBdr>
          <w:bottom w:val="single" w:sz="12" w:space="1" w:color="auto"/>
        </w:pBdr>
      </w:pPr>
    </w:p>
    <w:p w14:paraId="181BB73F" w14:textId="77777777" w:rsidR="0062778E" w:rsidRDefault="004E1FEA" w:rsidP="00FD2A44">
      <w:pPr>
        <w:pBdr>
          <w:bottom w:val="single" w:sz="12" w:space="1" w:color="auto"/>
        </w:pBdr>
      </w:pPr>
      <w:r>
        <w:t xml:space="preserve">The full document, including the raw data, data breakdown and information about the methodology, of the survey can be found </w:t>
      </w:r>
      <w:hyperlink r:id="rId10" w:history="1">
        <w:r w:rsidRPr="004E1FEA">
          <w:rPr>
            <w:rStyle w:val="Hyperlink"/>
          </w:rPr>
          <w:t>here</w:t>
        </w:r>
      </w:hyperlink>
      <w:r>
        <w:t>.</w:t>
      </w:r>
    </w:p>
    <w:p w14:paraId="7A51ADBF" w14:textId="77777777" w:rsidR="0062778E" w:rsidRDefault="0062778E" w:rsidP="00FD2A44">
      <w:pPr>
        <w:pBdr>
          <w:bottom w:val="single" w:sz="12" w:space="1" w:color="auto"/>
        </w:pBdr>
      </w:pPr>
    </w:p>
    <w:p w14:paraId="2D2EE717" w14:textId="77777777" w:rsidR="00E616A6" w:rsidRDefault="00FD2A44">
      <w:r w:rsidRPr="0088688B">
        <w:rPr>
          <w:rFonts w:cs="Arial"/>
          <w:b/>
        </w:rPr>
        <w:t>Queries and further information</w:t>
      </w:r>
      <w:r w:rsidR="00D81119">
        <w:rPr>
          <w:rFonts w:cs="Arial"/>
          <w:b/>
        </w:rPr>
        <w:t xml:space="preserve"> </w:t>
      </w:r>
      <w:r w:rsidRPr="0088688B">
        <w:rPr>
          <w:rFonts w:cs="Arial"/>
        </w:rPr>
        <w:t xml:space="preserve">Please contact Ramzi Suleiman, Policy and Campaigns Officer, </w:t>
      </w:r>
      <w:hyperlink r:id="rId11" w:history="1">
        <w:r w:rsidRPr="0088688B">
          <w:rPr>
            <w:rStyle w:val="Hyperlink"/>
            <w:rFonts w:cs="Arial"/>
          </w:rPr>
          <w:t>rsuleiman@carers.org</w:t>
        </w:r>
      </w:hyperlink>
      <w:r w:rsidRPr="0088688B">
        <w:rPr>
          <w:rFonts w:cs="Arial"/>
        </w:rPr>
        <w:t xml:space="preserve"> 020 7922 7754 / 07909</w:t>
      </w:r>
      <w:r>
        <w:rPr>
          <w:rFonts w:cs="Arial"/>
        </w:rPr>
        <w:t xml:space="preserve"> </w:t>
      </w:r>
      <w:r w:rsidRPr="0088688B">
        <w:rPr>
          <w:rFonts w:cs="Arial"/>
        </w:rPr>
        <w:t>967</w:t>
      </w:r>
      <w:r>
        <w:rPr>
          <w:rFonts w:cs="Arial"/>
        </w:rPr>
        <w:t xml:space="preserve"> </w:t>
      </w:r>
      <w:r w:rsidRPr="0088688B">
        <w:rPr>
          <w:rFonts w:cs="Arial"/>
        </w:rPr>
        <w:t>862</w:t>
      </w:r>
    </w:p>
    <w:sectPr w:rsidR="00E616A6" w:rsidSect="00F70900">
      <w:headerReference w:type="even" r:id="rId12"/>
      <w:headerReference w:type="default" r:id="rId13"/>
      <w:footerReference w:type="even" r:id="rId14"/>
      <w:footerReference w:type="default" r:id="rId15"/>
      <w:headerReference w:type="first" r:id="rId16"/>
      <w:footerReference w:type="first" r:id="rId17"/>
      <w:pgSz w:w="11900" w:h="16840"/>
      <w:pgMar w:top="2415" w:right="1440" w:bottom="1990" w:left="1440" w:header="709" w:footer="48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01271" w14:textId="77777777" w:rsidR="0030053A" w:rsidRDefault="00D43AC1">
      <w:r>
        <w:separator/>
      </w:r>
    </w:p>
  </w:endnote>
  <w:endnote w:type="continuationSeparator" w:id="0">
    <w:p w14:paraId="566D155B" w14:textId="77777777" w:rsidR="0030053A" w:rsidRDefault="00D4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6EED" w14:textId="77777777" w:rsidR="00FA72A0" w:rsidRDefault="000479EC" w:rsidP="00CE5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A70F0" w14:textId="77777777" w:rsidR="00FA72A0" w:rsidRDefault="002149C3" w:rsidP="00FA7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077BE" w14:textId="53678B1D" w:rsidR="00FA72A0" w:rsidRPr="00A46542" w:rsidRDefault="000479EC" w:rsidP="00797462">
    <w:pPr>
      <w:pStyle w:val="Footer"/>
      <w:framePr w:w="434" w:wrap="around" w:vAnchor="text" w:hAnchor="page" w:x="10508" w:y="-5"/>
      <w:jc w:val="right"/>
      <w:rPr>
        <w:rStyle w:val="PageNumber"/>
      </w:rPr>
    </w:pPr>
    <w:r w:rsidRPr="00A46542">
      <w:rPr>
        <w:rStyle w:val="PageNumber"/>
      </w:rPr>
      <w:fldChar w:fldCharType="begin"/>
    </w:r>
    <w:r w:rsidRPr="00A46542">
      <w:rPr>
        <w:rStyle w:val="PageNumber"/>
      </w:rPr>
      <w:instrText xml:space="preserve">PAGE  </w:instrText>
    </w:r>
    <w:r w:rsidRPr="00A46542">
      <w:rPr>
        <w:rStyle w:val="PageNumber"/>
      </w:rPr>
      <w:fldChar w:fldCharType="separate"/>
    </w:r>
    <w:r w:rsidR="002149C3">
      <w:rPr>
        <w:rStyle w:val="PageNumber"/>
        <w:noProof/>
      </w:rPr>
      <w:t>3</w:t>
    </w:r>
    <w:r w:rsidRPr="00A46542">
      <w:rPr>
        <w:rStyle w:val="PageNumber"/>
      </w:rPr>
      <w:fldChar w:fldCharType="end"/>
    </w:r>
  </w:p>
  <w:p w14:paraId="4AFE718A" w14:textId="77777777" w:rsidR="00C24F94" w:rsidRPr="00A46542" w:rsidRDefault="000479EC" w:rsidP="00FA72A0">
    <w:pPr>
      <w:pStyle w:val="Footer"/>
      <w:tabs>
        <w:tab w:val="clear" w:pos="4320"/>
        <w:tab w:val="clear" w:pos="8640"/>
        <w:tab w:val="left" w:pos="6860"/>
      </w:tabs>
      <w:ind w:right="360"/>
      <w:rPr>
        <w:color w:val="0092BC"/>
      </w:rPr>
    </w:pPr>
    <w:r w:rsidRPr="00A46542">
      <w:rPr>
        <w:color w:val="0092BC"/>
      </w:rPr>
      <w:t>© Carers Trust</w:t>
    </w:r>
    <w:r w:rsidRPr="00A46542">
      <w:rPr>
        <w:color w:val="0092BC"/>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C09CB" w14:textId="77777777" w:rsidR="00FA72A0" w:rsidRPr="00630666" w:rsidRDefault="002149C3" w:rsidP="00FA72A0">
    <w:pPr>
      <w:pStyle w:val="Footer"/>
      <w:tabs>
        <w:tab w:val="clear" w:pos="4320"/>
        <w:tab w:val="clear" w:pos="8640"/>
        <w:tab w:val="left" w:pos="6860"/>
      </w:tabs>
      <w:ind w:right="357"/>
      <w:rPr>
        <w:color w:val="000000"/>
        <w:sz w:val="20"/>
      </w:rPr>
    </w:pPr>
  </w:p>
  <w:p w14:paraId="5D708BB5" w14:textId="77777777" w:rsidR="00FA72A0" w:rsidRPr="00F013DF" w:rsidRDefault="000479EC" w:rsidP="00FA72A0">
    <w:pPr>
      <w:pStyle w:val="Footer"/>
      <w:tabs>
        <w:tab w:val="clear" w:pos="4320"/>
        <w:tab w:val="clear" w:pos="8640"/>
        <w:tab w:val="left" w:pos="6860"/>
      </w:tabs>
      <w:ind w:right="357"/>
      <w:rPr>
        <w:color w:val="0092BC"/>
      </w:rPr>
    </w:pPr>
    <w:r w:rsidRPr="00F013DF">
      <w:rPr>
        <w:color w:val="0092BC"/>
      </w:rPr>
      <w:t>© Carers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BE77" w14:textId="77777777" w:rsidR="0030053A" w:rsidRDefault="00D43AC1">
      <w:r>
        <w:separator/>
      </w:r>
    </w:p>
  </w:footnote>
  <w:footnote w:type="continuationSeparator" w:id="0">
    <w:p w14:paraId="099A6FA2" w14:textId="77777777" w:rsidR="0030053A" w:rsidRDefault="00D43AC1">
      <w:r>
        <w:continuationSeparator/>
      </w:r>
    </w:p>
  </w:footnote>
  <w:footnote w:id="1">
    <w:p w14:paraId="75DAF78E" w14:textId="77777777" w:rsidR="00BC2000" w:rsidRPr="00E8630E" w:rsidRDefault="00BC2000">
      <w:pPr>
        <w:pStyle w:val="FootnoteText"/>
        <w:rPr>
          <w:sz w:val="16"/>
          <w:szCs w:val="16"/>
        </w:rPr>
      </w:pPr>
      <w:r w:rsidRPr="00E8630E">
        <w:rPr>
          <w:rStyle w:val="FootnoteReference"/>
          <w:sz w:val="16"/>
          <w:szCs w:val="16"/>
        </w:rPr>
        <w:footnoteRef/>
      </w:r>
      <w:r w:rsidRPr="00E8630E">
        <w:rPr>
          <w:sz w:val="16"/>
          <w:szCs w:val="16"/>
        </w:rPr>
        <w:t xml:space="preserve"> For the purposes of the briefing, percentages have been rounded to the nearest 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4071A" w14:textId="77777777" w:rsidR="005B7738" w:rsidRDefault="00214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B729A" w14:textId="77777777" w:rsidR="006B6183" w:rsidRDefault="000479EC">
    <w:pPr>
      <w:pStyle w:val="Header"/>
    </w:pPr>
    <w:r>
      <w:rPr>
        <w:noProof/>
        <w:lang w:eastAsia="en-GB"/>
      </w:rPr>
      <w:drawing>
        <wp:anchor distT="0" distB="0" distL="114300" distR="114300" simplePos="0" relativeHeight="251659264" behindDoc="1" locked="0" layoutInCell="1" allowOverlap="1" wp14:anchorId="08BFD393" wp14:editId="42246BB2">
          <wp:simplePos x="0" y="0"/>
          <wp:positionH relativeFrom="page">
            <wp:posOffset>-12700</wp:posOffset>
          </wp:positionH>
          <wp:positionV relativeFrom="page">
            <wp:align>top</wp:align>
          </wp:positionV>
          <wp:extent cx="7562215" cy="10693400"/>
          <wp:effectExtent l="0" t="0" r="6985" b="0"/>
          <wp:wrapNone/>
          <wp:docPr id="2" name="Picture 2" descr="Description: :Workings:Carers Trust Word template_Portrait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orkings:Carers Trust Word template_Portrait_Pag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BDB8" w14:textId="77777777" w:rsidR="00C24F94" w:rsidRDefault="000479EC">
    <w:pPr>
      <w:pStyle w:val="Header"/>
    </w:pPr>
    <w:r>
      <w:rPr>
        <w:noProof/>
        <w:lang w:eastAsia="en-GB"/>
      </w:rPr>
      <w:drawing>
        <wp:anchor distT="0" distB="0" distL="114300" distR="114300" simplePos="0" relativeHeight="251660288" behindDoc="1" locked="0" layoutInCell="1" allowOverlap="1" wp14:anchorId="0A445579" wp14:editId="7A8FB335">
          <wp:simplePos x="0" y="0"/>
          <wp:positionH relativeFrom="page">
            <wp:posOffset>25400</wp:posOffset>
          </wp:positionH>
          <wp:positionV relativeFrom="page">
            <wp:posOffset>-12065</wp:posOffset>
          </wp:positionV>
          <wp:extent cx="7561727" cy="10693397"/>
          <wp:effectExtent l="0" t="0" r="7620" b="63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kings:Carers Trust Word template_Portrait_Page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727" cy="106933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C406A2"/>
    <w:lvl w:ilvl="0">
      <w:start w:val="1"/>
      <w:numFmt w:val="bullet"/>
      <w:lvlText w:val=""/>
      <w:lvlJc w:val="left"/>
      <w:pPr>
        <w:tabs>
          <w:tab w:val="num" w:pos="360"/>
        </w:tabs>
        <w:ind w:left="360" w:hanging="360"/>
      </w:pPr>
      <w:rPr>
        <w:rFonts w:ascii="Symbol" w:hAnsi="Symbol" w:hint="default"/>
      </w:rPr>
    </w:lvl>
  </w:abstractNum>
  <w:abstractNum w:abstractNumId="1">
    <w:nsid w:val="05F776C1"/>
    <w:multiLevelType w:val="hybridMultilevel"/>
    <w:tmpl w:val="8138B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7C2A06"/>
    <w:multiLevelType w:val="hybridMultilevel"/>
    <w:tmpl w:val="A35EB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464576"/>
    <w:multiLevelType w:val="hybridMultilevel"/>
    <w:tmpl w:val="2034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FC24FB"/>
    <w:multiLevelType w:val="hybridMultilevel"/>
    <w:tmpl w:val="4F0E5A30"/>
    <w:lvl w:ilvl="0" w:tplc="83D05D88">
      <w:start w:val="1"/>
      <w:numFmt w:val="bullet"/>
      <w:lvlText w:val=""/>
      <w:lvlJc w:val="left"/>
      <w:pPr>
        <w:tabs>
          <w:tab w:val="num" w:pos="170"/>
        </w:tabs>
        <w:ind w:left="170" w:hanging="170"/>
      </w:pPr>
      <w:rPr>
        <w:rFonts w:ascii="Symbol" w:hAnsi="Symbol" w:hint="default"/>
      </w:rPr>
    </w:lvl>
    <w:lvl w:ilvl="1" w:tplc="04090003">
      <w:start w:val="1"/>
      <w:numFmt w:val="bullet"/>
      <w:lvlText w:val="o"/>
      <w:lvlJc w:val="left"/>
      <w:pPr>
        <w:ind w:left="1069"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91DA4"/>
    <w:multiLevelType w:val="hybridMultilevel"/>
    <w:tmpl w:val="8BE8DAC0"/>
    <w:lvl w:ilvl="0" w:tplc="6D886AB0">
      <w:start w:val="1"/>
      <w:numFmt w:val="bullet"/>
      <w:pStyle w:val="List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1D37F7"/>
    <w:multiLevelType w:val="hybridMultilevel"/>
    <w:tmpl w:val="7D72F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TA2sTQzMTO2NDFQ0lEKTi0uzszPAykwrwUAOmlnvSwAAAA="/>
  </w:docVars>
  <w:rsids>
    <w:rsidRoot w:val="00FD2A44"/>
    <w:rsid w:val="000479EC"/>
    <w:rsid w:val="000C6412"/>
    <w:rsid w:val="00175359"/>
    <w:rsid w:val="001A1D2B"/>
    <w:rsid w:val="002149C3"/>
    <w:rsid w:val="0030053A"/>
    <w:rsid w:val="003F08B3"/>
    <w:rsid w:val="004E1FEA"/>
    <w:rsid w:val="005F2424"/>
    <w:rsid w:val="0062778E"/>
    <w:rsid w:val="006D542E"/>
    <w:rsid w:val="00883A2C"/>
    <w:rsid w:val="00A76775"/>
    <w:rsid w:val="00BC2000"/>
    <w:rsid w:val="00BE00FE"/>
    <w:rsid w:val="00CB5ED8"/>
    <w:rsid w:val="00D43AC1"/>
    <w:rsid w:val="00D81119"/>
    <w:rsid w:val="00E616A6"/>
    <w:rsid w:val="00E8630E"/>
    <w:rsid w:val="00F67100"/>
    <w:rsid w:val="00FC50C0"/>
    <w:rsid w:val="00FD2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44"/>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autoRedefine/>
    <w:uiPriority w:val="9"/>
    <w:qFormat/>
    <w:rsid w:val="00D43AC1"/>
    <w:pPr>
      <w:keepNext/>
      <w:keepLines/>
      <w:spacing w:before="100" w:beforeAutospacing="1" w:after="100" w:afterAutospacing="1"/>
      <w:outlineLvl w:val="0"/>
    </w:pPr>
    <w:rPr>
      <w:rFonts w:eastAsia="Times New Roman"/>
      <w:b/>
      <w:bCs/>
      <w:color w:val="0092BC"/>
      <w:sz w:val="40"/>
      <w:szCs w:val="32"/>
    </w:rPr>
  </w:style>
  <w:style w:type="paragraph" w:styleId="Heading2">
    <w:name w:val="heading 2"/>
    <w:basedOn w:val="Normal"/>
    <w:next w:val="Normal"/>
    <w:link w:val="Heading2Char"/>
    <w:autoRedefine/>
    <w:rsid w:val="00D43AC1"/>
    <w:pPr>
      <w:keepNext/>
      <w:keepLines/>
      <w:spacing w:after="80"/>
      <w:outlineLvl w:val="1"/>
    </w:pPr>
    <w:rPr>
      <w:rFonts w:eastAsia="Times New Roman"/>
      <w:b/>
      <w:bCs/>
      <w:color w:val="0092BC"/>
      <w:sz w:val="32"/>
      <w:szCs w:val="26"/>
    </w:rPr>
  </w:style>
  <w:style w:type="paragraph" w:styleId="Heading3">
    <w:name w:val="heading 3"/>
    <w:basedOn w:val="Normal"/>
    <w:next w:val="Normal"/>
    <w:link w:val="Heading3Char"/>
    <w:uiPriority w:val="9"/>
    <w:unhideWhenUsed/>
    <w:qFormat/>
    <w:rsid w:val="00FD2A44"/>
    <w:pPr>
      <w:keepNext/>
      <w:keepLines/>
      <w:spacing w:before="200"/>
      <w:outlineLvl w:val="2"/>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AC1"/>
    <w:rPr>
      <w:rFonts w:ascii="Arial" w:eastAsia="Times New Roman" w:hAnsi="Arial" w:cs="Times New Roman"/>
      <w:b/>
      <w:bCs/>
      <w:color w:val="0092BC"/>
      <w:sz w:val="40"/>
      <w:szCs w:val="32"/>
    </w:rPr>
  </w:style>
  <w:style w:type="character" w:customStyle="1" w:styleId="Heading2Char">
    <w:name w:val="Heading 2 Char"/>
    <w:basedOn w:val="DefaultParagraphFont"/>
    <w:link w:val="Heading2"/>
    <w:rsid w:val="00D43AC1"/>
    <w:rPr>
      <w:rFonts w:ascii="Arial" w:eastAsia="Times New Roman" w:hAnsi="Arial" w:cs="Times New Roman"/>
      <w:b/>
      <w:bCs/>
      <w:color w:val="0092BC"/>
      <w:sz w:val="32"/>
      <w:szCs w:val="26"/>
    </w:rPr>
  </w:style>
  <w:style w:type="character" w:customStyle="1" w:styleId="Heading3Char">
    <w:name w:val="Heading 3 Char"/>
    <w:basedOn w:val="DefaultParagraphFont"/>
    <w:link w:val="Heading3"/>
    <w:uiPriority w:val="9"/>
    <w:rsid w:val="00FD2A44"/>
    <w:rPr>
      <w:rFonts w:ascii="Arial" w:eastAsia="Times New Roman" w:hAnsi="Arial" w:cs="Times New Roman"/>
      <w:b/>
      <w:bCs/>
      <w:color w:val="000000"/>
      <w:sz w:val="24"/>
      <w:szCs w:val="24"/>
    </w:rPr>
  </w:style>
  <w:style w:type="paragraph" w:styleId="ListBullet">
    <w:name w:val="List Bullet"/>
    <w:basedOn w:val="Normal"/>
    <w:next w:val="Normal"/>
    <w:autoRedefine/>
    <w:rsid w:val="00FD2A44"/>
    <w:pPr>
      <w:numPr>
        <w:numId w:val="1"/>
      </w:numPr>
      <w:contextualSpacing/>
    </w:pPr>
  </w:style>
  <w:style w:type="character" w:styleId="PageNumber">
    <w:name w:val="page number"/>
    <w:basedOn w:val="DefaultParagraphFont"/>
    <w:uiPriority w:val="99"/>
    <w:semiHidden/>
    <w:unhideWhenUsed/>
    <w:rsid w:val="00FD2A44"/>
  </w:style>
  <w:style w:type="paragraph" w:styleId="Header">
    <w:name w:val="header"/>
    <w:basedOn w:val="Normal"/>
    <w:link w:val="HeaderChar"/>
    <w:uiPriority w:val="99"/>
    <w:unhideWhenUsed/>
    <w:rsid w:val="00FD2A44"/>
    <w:pPr>
      <w:tabs>
        <w:tab w:val="center" w:pos="4320"/>
        <w:tab w:val="right" w:pos="8640"/>
      </w:tabs>
    </w:pPr>
  </w:style>
  <w:style w:type="character" w:customStyle="1" w:styleId="HeaderChar">
    <w:name w:val="Header Char"/>
    <w:basedOn w:val="DefaultParagraphFont"/>
    <w:link w:val="Header"/>
    <w:uiPriority w:val="99"/>
    <w:rsid w:val="00FD2A44"/>
    <w:rPr>
      <w:rFonts w:ascii="Arial" w:eastAsia="Cambria" w:hAnsi="Arial" w:cs="Times New Roman"/>
      <w:sz w:val="24"/>
      <w:szCs w:val="24"/>
    </w:rPr>
  </w:style>
  <w:style w:type="paragraph" w:styleId="Footer">
    <w:name w:val="footer"/>
    <w:basedOn w:val="Normal"/>
    <w:link w:val="FooterChar"/>
    <w:uiPriority w:val="99"/>
    <w:semiHidden/>
    <w:unhideWhenUsed/>
    <w:rsid w:val="00FD2A44"/>
    <w:pPr>
      <w:tabs>
        <w:tab w:val="center" w:pos="4320"/>
        <w:tab w:val="right" w:pos="8640"/>
      </w:tabs>
    </w:pPr>
  </w:style>
  <w:style w:type="character" w:customStyle="1" w:styleId="FooterChar">
    <w:name w:val="Footer Char"/>
    <w:basedOn w:val="DefaultParagraphFont"/>
    <w:link w:val="Footer"/>
    <w:uiPriority w:val="99"/>
    <w:semiHidden/>
    <w:rsid w:val="00FD2A44"/>
    <w:rPr>
      <w:rFonts w:ascii="Arial" w:eastAsia="Cambria" w:hAnsi="Arial" w:cs="Times New Roman"/>
      <w:sz w:val="24"/>
      <w:szCs w:val="24"/>
    </w:rPr>
  </w:style>
  <w:style w:type="character" w:styleId="Hyperlink">
    <w:name w:val="Hyperlink"/>
    <w:basedOn w:val="DefaultParagraphFont"/>
    <w:uiPriority w:val="99"/>
    <w:unhideWhenUsed/>
    <w:rsid w:val="00FD2A44"/>
    <w:rPr>
      <w:color w:val="0563C1" w:themeColor="hyperlink"/>
      <w:u w:val="single"/>
    </w:rPr>
  </w:style>
  <w:style w:type="character" w:customStyle="1" w:styleId="Mention">
    <w:name w:val="Mention"/>
    <w:basedOn w:val="DefaultParagraphFont"/>
    <w:uiPriority w:val="99"/>
    <w:semiHidden/>
    <w:unhideWhenUsed/>
    <w:rsid w:val="00FD2A44"/>
    <w:rPr>
      <w:color w:val="2B579A"/>
      <w:shd w:val="clear" w:color="auto" w:fill="E6E6E6"/>
    </w:rPr>
  </w:style>
  <w:style w:type="paragraph" w:styleId="ListParagraph">
    <w:name w:val="List Paragraph"/>
    <w:basedOn w:val="Normal"/>
    <w:uiPriority w:val="34"/>
    <w:qFormat/>
    <w:rsid w:val="00FD2A44"/>
    <w:pPr>
      <w:ind w:left="720"/>
      <w:contextualSpacing/>
    </w:pPr>
  </w:style>
  <w:style w:type="paragraph" w:styleId="NormalWeb">
    <w:name w:val="Normal (Web)"/>
    <w:basedOn w:val="Normal"/>
    <w:uiPriority w:val="99"/>
    <w:semiHidden/>
    <w:unhideWhenUsed/>
    <w:rsid w:val="00BC2000"/>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39"/>
    <w:rsid w:val="00BC2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2000"/>
    <w:rPr>
      <w:sz w:val="20"/>
      <w:szCs w:val="20"/>
    </w:rPr>
  </w:style>
  <w:style w:type="character" w:customStyle="1" w:styleId="FootnoteTextChar">
    <w:name w:val="Footnote Text Char"/>
    <w:basedOn w:val="DefaultParagraphFont"/>
    <w:link w:val="FootnoteText"/>
    <w:uiPriority w:val="99"/>
    <w:semiHidden/>
    <w:rsid w:val="00BC2000"/>
    <w:rPr>
      <w:rFonts w:ascii="Arial" w:eastAsia="Cambria" w:hAnsi="Arial" w:cs="Times New Roman"/>
      <w:sz w:val="20"/>
      <w:szCs w:val="20"/>
    </w:rPr>
  </w:style>
  <w:style w:type="character" w:styleId="FootnoteReference">
    <w:name w:val="footnote reference"/>
    <w:basedOn w:val="DefaultParagraphFont"/>
    <w:uiPriority w:val="99"/>
    <w:semiHidden/>
    <w:unhideWhenUsed/>
    <w:rsid w:val="00BC2000"/>
    <w:rPr>
      <w:vertAlign w:val="superscript"/>
    </w:rPr>
  </w:style>
  <w:style w:type="paragraph" w:styleId="BalloonText">
    <w:name w:val="Balloon Text"/>
    <w:basedOn w:val="Normal"/>
    <w:link w:val="BalloonTextChar"/>
    <w:uiPriority w:val="99"/>
    <w:semiHidden/>
    <w:unhideWhenUsed/>
    <w:rsid w:val="00BE0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FE"/>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A76775"/>
    <w:rPr>
      <w:sz w:val="16"/>
      <w:szCs w:val="16"/>
    </w:rPr>
  </w:style>
  <w:style w:type="paragraph" w:styleId="CommentText">
    <w:name w:val="annotation text"/>
    <w:basedOn w:val="Normal"/>
    <w:link w:val="CommentTextChar"/>
    <w:uiPriority w:val="99"/>
    <w:semiHidden/>
    <w:unhideWhenUsed/>
    <w:rsid w:val="00A76775"/>
    <w:rPr>
      <w:sz w:val="20"/>
      <w:szCs w:val="20"/>
    </w:rPr>
  </w:style>
  <w:style w:type="character" w:customStyle="1" w:styleId="CommentTextChar">
    <w:name w:val="Comment Text Char"/>
    <w:basedOn w:val="DefaultParagraphFont"/>
    <w:link w:val="CommentText"/>
    <w:uiPriority w:val="99"/>
    <w:semiHidden/>
    <w:rsid w:val="00A76775"/>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775"/>
    <w:rPr>
      <w:b/>
      <w:bCs/>
    </w:rPr>
  </w:style>
  <w:style w:type="character" w:customStyle="1" w:styleId="CommentSubjectChar">
    <w:name w:val="Comment Subject Char"/>
    <w:basedOn w:val="CommentTextChar"/>
    <w:link w:val="CommentSubject"/>
    <w:uiPriority w:val="99"/>
    <w:semiHidden/>
    <w:rsid w:val="00A76775"/>
    <w:rPr>
      <w:rFonts w:ascii="Arial" w:eastAsia="Cambria"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44"/>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autoRedefine/>
    <w:uiPriority w:val="9"/>
    <w:qFormat/>
    <w:rsid w:val="00D43AC1"/>
    <w:pPr>
      <w:keepNext/>
      <w:keepLines/>
      <w:spacing w:before="100" w:beforeAutospacing="1" w:after="100" w:afterAutospacing="1"/>
      <w:outlineLvl w:val="0"/>
    </w:pPr>
    <w:rPr>
      <w:rFonts w:eastAsia="Times New Roman"/>
      <w:b/>
      <w:bCs/>
      <w:color w:val="0092BC"/>
      <w:sz w:val="40"/>
      <w:szCs w:val="32"/>
    </w:rPr>
  </w:style>
  <w:style w:type="paragraph" w:styleId="Heading2">
    <w:name w:val="heading 2"/>
    <w:basedOn w:val="Normal"/>
    <w:next w:val="Normal"/>
    <w:link w:val="Heading2Char"/>
    <w:autoRedefine/>
    <w:rsid w:val="00D43AC1"/>
    <w:pPr>
      <w:keepNext/>
      <w:keepLines/>
      <w:spacing w:after="80"/>
      <w:outlineLvl w:val="1"/>
    </w:pPr>
    <w:rPr>
      <w:rFonts w:eastAsia="Times New Roman"/>
      <w:b/>
      <w:bCs/>
      <w:color w:val="0092BC"/>
      <w:sz w:val="32"/>
      <w:szCs w:val="26"/>
    </w:rPr>
  </w:style>
  <w:style w:type="paragraph" w:styleId="Heading3">
    <w:name w:val="heading 3"/>
    <w:basedOn w:val="Normal"/>
    <w:next w:val="Normal"/>
    <w:link w:val="Heading3Char"/>
    <w:uiPriority w:val="9"/>
    <w:unhideWhenUsed/>
    <w:qFormat/>
    <w:rsid w:val="00FD2A44"/>
    <w:pPr>
      <w:keepNext/>
      <w:keepLines/>
      <w:spacing w:before="200"/>
      <w:outlineLvl w:val="2"/>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AC1"/>
    <w:rPr>
      <w:rFonts w:ascii="Arial" w:eastAsia="Times New Roman" w:hAnsi="Arial" w:cs="Times New Roman"/>
      <w:b/>
      <w:bCs/>
      <w:color w:val="0092BC"/>
      <w:sz w:val="40"/>
      <w:szCs w:val="32"/>
    </w:rPr>
  </w:style>
  <w:style w:type="character" w:customStyle="1" w:styleId="Heading2Char">
    <w:name w:val="Heading 2 Char"/>
    <w:basedOn w:val="DefaultParagraphFont"/>
    <w:link w:val="Heading2"/>
    <w:rsid w:val="00D43AC1"/>
    <w:rPr>
      <w:rFonts w:ascii="Arial" w:eastAsia="Times New Roman" w:hAnsi="Arial" w:cs="Times New Roman"/>
      <w:b/>
      <w:bCs/>
      <w:color w:val="0092BC"/>
      <w:sz w:val="32"/>
      <w:szCs w:val="26"/>
    </w:rPr>
  </w:style>
  <w:style w:type="character" w:customStyle="1" w:styleId="Heading3Char">
    <w:name w:val="Heading 3 Char"/>
    <w:basedOn w:val="DefaultParagraphFont"/>
    <w:link w:val="Heading3"/>
    <w:uiPriority w:val="9"/>
    <w:rsid w:val="00FD2A44"/>
    <w:rPr>
      <w:rFonts w:ascii="Arial" w:eastAsia="Times New Roman" w:hAnsi="Arial" w:cs="Times New Roman"/>
      <w:b/>
      <w:bCs/>
      <w:color w:val="000000"/>
      <w:sz w:val="24"/>
      <w:szCs w:val="24"/>
    </w:rPr>
  </w:style>
  <w:style w:type="paragraph" w:styleId="ListBullet">
    <w:name w:val="List Bullet"/>
    <w:basedOn w:val="Normal"/>
    <w:next w:val="Normal"/>
    <w:autoRedefine/>
    <w:rsid w:val="00FD2A44"/>
    <w:pPr>
      <w:numPr>
        <w:numId w:val="1"/>
      </w:numPr>
      <w:contextualSpacing/>
    </w:pPr>
  </w:style>
  <w:style w:type="character" w:styleId="PageNumber">
    <w:name w:val="page number"/>
    <w:basedOn w:val="DefaultParagraphFont"/>
    <w:uiPriority w:val="99"/>
    <w:semiHidden/>
    <w:unhideWhenUsed/>
    <w:rsid w:val="00FD2A44"/>
  </w:style>
  <w:style w:type="paragraph" w:styleId="Header">
    <w:name w:val="header"/>
    <w:basedOn w:val="Normal"/>
    <w:link w:val="HeaderChar"/>
    <w:uiPriority w:val="99"/>
    <w:unhideWhenUsed/>
    <w:rsid w:val="00FD2A44"/>
    <w:pPr>
      <w:tabs>
        <w:tab w:val="center" w:pos="4320"/>
        <w:tab w:val="right" w:pos="8640"/>
      </w:tabs>
    </w:pPr>
  </w:style>
  <w:style w:type="character" w:customStyle="1" w:styleId="HeaderChar">
    <w:name w:val="Header Char"/>
    <w:basedOn w:val="DefaultParagraphFont"/>
    <w:link w:val="Header"/>
    <w:uiPriority w:val="99"/>
    <w:rsid w:val="00FD2A44"/>
    <w:rPr>
      <w:rFonts w:ascii="Arial" w:eastAsia="Cambria" w:hAnsi="Arial" w:cs="Times New Roman"/>
      <w:sz w:val="24"/>
      <w:szCs w:val="24"/>
    </w:rPr>
  </w:style>
  <w:style w:type="paragraph" w:styleId="Footer">
    <w:name w:val="footer"/>
    <w:basedOn w:val="Normal"/>
    <w:link w:val="FooterChar"/>
    <w:uiPriority w:val="99"/>
    <w:semiHidden/>
    <w:unhideWhenUsed/>
    <w:rsid w:val="00FD2A44"/>
    <w:pPr>
      <w:tabs>
        <w:tab w:val="center" w:pos="4320"/>
        <w:tab w:val="right" w:pos="8640"/>
      </w:tabs>
    </w:pPr>
  </w:style>
  <w:style w:type="character" w:customStyle="1" w:styleId="FooterChar">
    <w:name w:val="Footer Char"/>
    <w:basedOn w:val="DefaultParagraphFont"/>
    <w:link w:val="Footer"/>
    <w:uiPriority w:val="99"/>
    <w:semiHidden/>
    <w:rsid w:val="00FD2A44"/>
    <w:rPr>
      <w:rFonts w:ascii="Arial" w:eastAsia="Cambria" w:hAnsi="Arial" w:cs="Times New Roman"/>
      <w:sz w:val="24"/>
      <w:szCs w:val="24"/>
    </w:rPr>
  </w:style>
  <w:style w:type="character" w:styleId="Hyperlink">
    <w:name w:val="Hyperlink"/>
    <w:basedOn w:val="DefaultParagraphFont"/>
    <w:uiPriority w:val="99"/>
    <w:unhideWhenUsed/>
    <w:rsid w:val="00FD2A44"/>
    <w:rPr>
      <w:color w:val="0563C1" w:themeColor="hyperlink"/>
      <w:u w:val="single"/>
    </w:rPr>
  </w:style>
  <w:style w:type="character" w:customStyle="1" w:styleId="Mention">
    <w:name w:val="Mention"/>
    <w:basedOn w:val="DefaultParagraphFont"/>
    <w:uiPriority w:val="99"/>
    <w:semiHidden/>
    <w:unhideWhenUsed/>
    <w:rsid w:val="00FD2A44"/>
    <w:rPr>
      <w:color w:val="2B579A"/>
      <w:shd w:val="clear" w:color="auto" w:fill="E6E6E6"/>
    </w:rPr>
  </w:style>
  <w:style w:type="paragraph" w:styleId="ListParagraph">
    <w:name w:val="List Paragraph"/>
    <w:basedOn w:val="Normal"/>
    <w:uiPriority w:val="34"/>
    <w:qFormat/>
    <w:rsid w:val="00FD2A44"/>
    <w:pPr>
      <w:ind w:left="720"/>
      <w:contextualSpacing/>
    </w:pPr>
  </w:style>
  <w:style w:type="paragraph" w:styleId="NormalWeb">
    <w:name w:val="Normal (Web)"/>
    <w:basedOn w:val="Normal"/>
    <w:uiPriority w:val="99"/>
    <w:semiHidden/>
    <w:unhideWhenUsed/>
    <w:rsid w:val="00BC2000"/>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39"/>
    <w:rsid w:val="00BC2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2000"/>
    <w:rPr>
      <w:sz w:val="20"/>
      <w:szCs w:val="20"/>
    </w:rPr>
  </w:style>
  <w:style w:type="character" w:customStyle="1" w:styleId="FootnoteTextChar">
    <w:name w:val="Footnote Text Char"/>
    <w:basedOn w:val="DefaultParagraphFont"/>
    <w:link w:val="FootnoteText"/>
    <w:uiPriority w:val="99"/>
    <w:semiHidden/>
    <w:rsid w:val="00BC2000"/>
    <w:rPr>
      <w:rFonts w:ascii="Arial" w:eastAsia="Cambria" w:hAnsi="Arial" w:cs="Times New Roman"/>
      <w:sz w:val="20"/>
      <w:szCs w:val="20"/>
    </w:rPr>
  </w:style>
  <w:style w:type="character" w:styleId="FootnoteReference">
    <w:name w:val="footnote reference"/>
    <w:basedOn w:val="DefaultParagraphFont"/>
    <w:uiPriority w:val="99"/>
    <w:semiHidden/>
    <w:unhideWhenUsed/>
    <w:rsid w:val="00BC2000"/>
    <w:rPr>
      <w:vertAlign w:val="superscript"/>
    </w:rPr>
  </w:style>
  <w:style w:type="paragraph" w:styleId="BalloonText">
    <w:name w:val="Balloon Text"/>
    <w:basedOn w:val="Normal"/>
    <w:link w:val="BalloonTextChar"/>
    <w:uiPriority w:val="99"/>
    <w:semiHidden/>
    <w:unhideWhenUsed/>
    <w:rsid w:val="00BE0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FE"/>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A76775"/>
    <w:rPr>
      <w:sz w:val="16"/>
      <w:szCs w:val="16"/>
    </w:rPr>
  </w:style>
  <w:style w:type="paragraph" w:styleId="CommentText">
    <w:name w:val="annotation text"/>
    <w:basedOn w:val="Normal"/>
    <w:link w:val="CommentTextChar"/>
    <w:uiPriority w:val="99"/>
    <w:semiHidden/>
    <w:unhideWhenUsed/>
    <w:rsid w:val="00A76775"/>
    <w:rPr>
      <w:sz w:val="20"/>
      <w:szCs w:val="20"/>
    </w:rPr>
  </w:style>
  <w:style w:type="character" w:customStyle="1" w:styleId="CommentTextChar">
    <w:name w:val="Comment Text Char"/>
    <w:basedOn w:val="DefaultParagraphFont"/>
    <w:link w:val="CommentText"/>
    <w:uiPriority w:val="99"/>
    <w:semiHidden/>
    <w:rsid w:val="00A76775"/>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775"/>
    <w:rPr>
      <w:b/>
      <w:bCs/>
    </w:rPr>
  </w:style>
  <w:style w:type="character" w:customStyle="1" w:styleId="CommentSubjectChar">
    <w:name w:val="Comment Subject Char"/>
    <w:basedOn w:val="CommentTextChar"/>
    <w:link w:val="CommentSubject"/>
    <w:uiPriority w:val="99"/>
    <w:semiHidden/>
    <w:rsid w:val="00A76775"/>
    <w:rPr>
      <w:rFonts w:ascii="Arial" w:eastAsia="Cambria"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5338">
      <w:bodyDiv w:val="1"/>
      <w:marLeft w:val="0"/>
      <w:marRight w:val="0"/>
      <w:marTop w:val="0"/>
      <w:marBottom w:val="0"/>
      <w:divBdr>
        <w:top w:val="none" w:sz="0" w:space="0" w:color="auto"/>
        <w:left w:val="none" w:sz="0" w:space="0" w:color="auto"/>
        <w:bottom w:val="none" w:sz="0" w:space="0" w:color="auto"/>
        <w:right w:val="none" w:sz="0" w:space="0" w:color="auto"/>
      </w:divBdr>
      <w:divsChild>
        <w:div w:id="802192738">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uleiman@carer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igital.nhs.uk/catalogue/PUB3004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igital.nhs.uk/catalogue/PUB30045"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544F7-D8C1-4122-B1E5-9F97C482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9F936764</Template>
  <TotalTime>0</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Ramzi Suleiman</dc:creator>
  <cp:lastModifiedBy>kim.goulden</cp:lastModifiedBy>
  <cp:revision>2</cp:revision>
  <cp:lastPrinted>2017-08-10T11:15:00Z</cp:lastPrinted>
  <dcterms:created xsi:type="dcterms:W3CDTF">2017-08-18T11:57:00Z</dcterms:created>
  <dcterms:modified xsi:type="dcterms:W3CDTF">2017-08-18T11:57:00Z</dcterms:modified>
</cp:coreProperties>
</file>